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8285" w14:textId="77777777" w:rsidR="00096E92" w:rsidRPr="00E47460" w:rsidRDefault="00096E92">
      <w:pPr>
        <w:pBdr>
          <w:top w:val="nil"/>
          <w:left w:val="nil"/>
          <w:bottom w:val="nil"/>
          <w:right w:val="nil"/>
          <w:between w:val="nil"/>
        </w:pBdr>
        <w:spacing w:before="9"/>
        <w:rPr>
          <w:rFonts w:ascii="Century Gothic" w:eastAsia="Times New Roman" w:hAnsi="Century Gothic" w:cs="Times New Roman"/>
          <w:color w:val="000000"/>
          <w:sz w:val="24"/>
          <w:szCs w:val="24"/>
        </w:rPr>
      </w:pPr>
      <w:bookmarkStart w:id="0" w:name="_gjdgxs" w:colFirst="0" w:colLast="0"/>
      <w:bookmarkEnd w:id="0"/>
    </w:p>
    <w:p w14:paraId="609F21B3" w14:textId="77777777" w:rsidR="00096E92" w:rsidRPr="00E47460" w:rsidRDefault="00302A62" w:rsidP="004631EF">
      <w:pPr>
        <w:pStyle w:val="Ttulo1"/>
        <w:tabs>
          <w:tab w:val="left" w:pos="4916"/>
        </w:tabs>
        <w:spacing w:before="101" w:line="244" w:lineRule="auto"/>
        <w:ind w:right="-41"/>
        <w:jc w:val="both"/>
        <w:rPr>
          <w:rFonts w:ascii="Century Gothic" w:hAnsi="Century Gothic"/>
        </w:rPr>
      </w:pPr>
      <w:r>
        <w:rPr>
          <w:rFonts w:ascii="Century Gothic" w:hAnsi="Century Gothic"/>
        </w:rPr>
        <w:t xml:space="preserve">BORRADOR DE RESOLUCIÓN No. </w:t>
      </w:r>
      <w:r w:rsidRPr="001B0F6F">
        <w:rPr>
          <w:rFonts w:ascii="Century Gothic" w:hAnsi="Century Gothic"/>
          <w:highlight w:val="yellow"/>
        </w:rPr>
        <w:t>xx</w:t>
      </w:r>
      <w:r>
        <w:rPr>
          <w:rFonts w:ascii="Century Gothic" w:hAnsi="Century Gothic"/>
        </w:rPr>
        <w:t>-2023</w:t>
      </w:r>
      <w:r w:rsidR="00BE582B" w:rsidRPr="00E47460">
        <w:rPr>
          <w:rFonts w:ascii="Century Gothic" w:hAnsi="Century Gothic"/>
        </w:rPr>
        <w:t>, SOBRE LA APLICACIÓN DEL PORCENTAJE DE LAS RESERVAS DE LAS CANDIDATURAS QUE ESTABLECE LA LEY No. 33-18 DE PARTIDOS, AGRUPACIONES Y MOVIMIENTOS POLÍTICOS PARA LAS ELECCIONES GENERALES ORDINARIAS DE 2024</w:t>
      </w:r>
    </w:p>
    <w:p w14:paraId="53DCB3C2" w14:textId="77777777" w:rsidR="00096E92" w:rsidRPr="00E47460" w:rsidRDefault="00096E92" w:rsidP="004631EF">
      <w:pPr>
        <w:pBdr>
          <w:top w:val="nil"/>
          <w:left w:val="nil"/>
          <w:bottom w:val="nil"/>
          <w:right w:val="nil"/>
          <w:between w:val="nil"/>
        </w:pBdr>
        <w:spacing w:before="8"/>
        <w:ind w:right="-41"/>
        <w:rPr>
          <w:rFonts w:ascii="Century Gothic" w:eastAsia="Tahoma" w:hAnsi="Century Gothic" w:cs="Tahoma"/>
          <w:b/>
          <w:color w:val="000000"/>
          <w:sz w:val="24"/>
          <w:szCs w:val="24"/>
        </w:rPr>
      </w:pPr>
    </w:p>
    <w:p w14:paraId="54E8EA40" w14:textId="77777777" w:rsidR="00096E92" w:rsidRPr="00E47460" w:rsidRDefault="00BE582B" w:rsidP="004631EF">
      <w:pPr>
        <w:spacing w:line="278" w:lineRule="auto"/>
        <w:ind w:right="-41"/>
        <w:jc w:val="both"/>
        <w:rPr>
          <w:rFonts w:ascii="Century Gothic" w:hAnsi="Century Gothic"/>
          <w:sz w:val="24"/>
          <w:szCs w:val="24"/>
        </w:rPr>
      </w:pPr>
      <w:r w:rsidRPr="00E47460">
        <w:rPr>
          <w:rFonts w:ascii="Century Gothic" w:hAnsi="Century Gothic"/>
          <w:sz w:val="24"/>
          <w:szCs w:val="24"/>
        </w:rPr>
        <w:t xml:space="preserve">La </w:t>
      </w:r>
      <w:r w:rsidRPr="00E47460">
        <w:rPr>
          <w:rFonts w:ascii="Century Gothic" w:eastAsia="Tahoma" w:hAnsi="Century Gothic" w:cs="Tahoma"/>
          <w:b/>
          <w:sz w:val="24"/>
          <w:szCs w:val="24"/>
        </w:rPr>
        <w:t>JUNTA CENTRAL ELECTORAL (JCE)</w:t>
      </w:r>
      <w:r w:rsidRPr="00E47460">
        <w:rPr>
          <w:rFonts w:ascii="Century Gothic" w:hAnsi="Century Gothic"/>
          <w:sz w:val="24"/>
          <w:szCs w:val="24"/>
        </w:rPr>
        <w:t xml:space="preserve">, institución autónoma de derecho público, con personalidad jurídica, creada y organizada por la Constitución de la República Dominicana y regida por la Ley Orgánica de Régimen Electoral No. 20-23, regularmente constituida en su sede principal, situada en la intersección formada por las avenidas 27 de Febrero y Luperón, Zona Industrial de Herrera, frente a la "Plaza de la Bandera", </w:t>
      </w:r>
      <w:r w:rsidR="00E51AAC" w:rsidRPr="00E47460">
        <w:rPr>
          <w:rFonts w:ascii="Century Gothic" w:hAnsi="Century Gothic"/>
          <w:sz w:val="24"/>
          <w:szCs w:val="24"/>
        </w:rPr>
        <w:t>m</w:t>
      </w:r>
      <w:r w:rsidRPr="00E47460">
        <w:rPr>
          <w:rFonts w:ascii="Century Gothic" w:hAnsi="Century Gothic"/>
          <w:sz w:val="24"/>
          <w:szCs w:val="24"/>
        </w:rPr>
        <w:t xml:space="preserve">unicipio Santo Domingo Oeste, </w:t>
      </w:r>
      <w:r w:rsidR="00E51AAC" w:rsidRPr="00E47460">
        <w:rPr>
          <w:rFonts w:ascii="Century Gothic" w:hAnsi="Century Gothic"/>
          <w:sz w:val="24"/>
          <w:szCs w:val="24"/>
        </w:rPr>
        <w:t>p</w:t>
      </w:r>
      <w:r w:rsidR="00337A8E" w:rsidRPr="00E47460">
        <w:rPr>
          <w:rFonts w:ascii="Century Gothic" w:hAnsi="Century Gothic"/>
          <w:sz w:val="24"/>
          <w:szCs w:val="24"/>
        </w:rPr>
        <w:t>rovincia</w:t>
      </w:r>
      <w:r w:rsidRPr="00E47460">
        <w:rPr>
          <w:rFonts w:ascii="Century Gothic" w:hAnsi="Century Gothic"/>
          <w:sz w:val="24"/>
          <w:szCs w:val="24"/>
        </w:rPr>
        <w:t xml:space="preserve"> Santo Domingo; integrada por </w:t>
      </w:r>
      <w:r w:rsidRPr="00E47460">
        <w:rPr>
          <w:rFonts w:ascii="Century Gothic" w:eastAsia="Tahoma" w:hAnsi="Century Gothic" w:cs="Tahoma"/>
          <w:b/>
          <w:sz w:val="24"/>
          <w:szCs w:val="24"/>
        </w:rPr>
        <w:t>Román Andrés Jáquez Liranzo</w:t>
      </w:r>
      <w:r w:rsidRPr="00E47460">
        <w:rPr>
          <w:rFonts w:ascii="Century Gothic" w:hAnsi="Century Gothic"/>
          <w:sz w:val="24"/>
          <w:szCs w:val="24"/>
        </w:rPr>
        <w:t xml:space="preserve">, Presidente; </w:t>
      </w:r>
      <w:r w:rsidRPr="00E47460">
        <w:rPr>
          <w:rFonts w:ascii="Century Gothic" w:eastAsia="Tahoma" w:hAnsi="Century Gothic" w:cs="Tahoma"/>
          <w:b/>
          <w:sz w:val="24"/>
          <w:szCs w:val="24"/>
        </w:rPr>
        <w:t>Rafael Armando Vallejo Santelises</w:t>
      </w:r>
      <w:r w:rsidRPr="00E47460">
        <w:rPr>
          <w:rFonts w:ascii="Century Gothic" w:hAnsi="Century Gothic"/>
          <w:sz w:val="24"/>
          <w:szCs w:val="24"/>
        </w:rPr>
        <w:t xml:space="preserve">, Miembro Titular; </w:t>
      </w:r>
      <w:r w:rsidRPr="00E47460">
        <w:rPr>
          <w:rFonts w:ascii="Century Gothic" w:eastAsia="Tahoma" w:hAnsi="Century Gothic" w:cs="Tahoma"/>
          <w:b/>
          <w:sz w:val="24"/>
          <w:szCs w:val="24"/>
        </w:rPr>
        <w:t xml:space="preserve">Dolores Altagracia Fernández Sánchez, </w:t>
      </w:r>
      <w:r w:rsidRPr="00E47460">
        <w:rPr>
          <w:rFonts w:ascii="Century Gothic" w:hAnsi="Century Gothic"/>
          <w:sz w:val="24"/>
          <w:szCs w:val="24"/>
        </w:rPr>
        <w:t xml:space="preserve">Miembro Titular; </w:t>
      </w:r>
      <w:r w:rsidRPr="00E47460">
        <w:rPr>
          <w:rFonts w:ascii="Century Gothic" w:eastAsia="Tahoma" w:hAnsi="Century Gothic" w:cs="Tahoma"/>
          <w:b/>
          <w:sz w:val="24"/>
          <w:szCs w:val="24"/>
        </w:rPr>
        <w:t>Patricia Lorenzo Paniagua</w:t>
      </w:r>
      <w:r w:rsidRPr="00E47460">
        <w:rPr>
          <w:rFonts w:ascii="Century Gothic" w:hAnsi="Century Gothic"/>
          <w:sz w:val="24"/>
          <w:szCs w:val="24"/>
        </w:rPr>
        <w:t xml:space="preserve">, Miembro Titular y </w:t>
      </w:r>
      <w:r w:rsidRPr="00E47460">
        <w:rPr>
          <w:rFonts w:ascii="Century Gothic" w:eastAsia="Tahoma" w:hAnsi="Century Gothic" w:cs="Tahoma"/>
          <w:b/>
          <w:sz w:val="24"/>
          <w:szCs w:val="24"/>
        </w:rPr>
        <w:t>Samir Rafael Chami Isa</w:t>
      </w:r>
      <w:r w:rsidRPr="00E47460">
        <w:rPr>
          <w:rFonts w:ascii="Century Gothic" w:hAnsi="Century Gothic"/>
          <w:sz w:val="24"/>
          <w:szCs w:val="24"/>
        </w:rPr>
        <w:t xml:space="preserve">, Miembro Titular; asistidos por </w:t>
      </w:r>
      <w:r w:rsidRPr="00E47460">
        <w:rPr>
          <w:rFonts w:ascii="Century Gothic" w:eastAsia="Tahoma" w:hAnsi="Century Gothic" w:cs="Tahoma"/>
          <w:b/>
          <w:sz w:val="24"/>
          <w:szCs w:val="24"/>
        </w:rPr>
        <w:t xml:space="preserve">Sonne Beltré Ramírez, </w:t>
      </w:r>
      <w:r w:rsidRPr="00E47460">
        <w:rPr>
          <w:rFonts w:ascii="Century Gothic" w:hAnsi="Century Gothic"/>
          <w:sz w:val="24"/>
          <w:szCs w:val="24"/>
        </w:rPr>
        <w:t>Secretario General</w:t>
      </w:r>
      <w:r w:rsidR="000A0540">
        <w:rPr>
          <w:rFonts w:ascii="Century Gothic" w:hAnsi="Century Gothic"/>
          <w:sz w:val="24"/>
          <w:szCs w:val="24"/>
        </w:rPr>
        <w:t>,</w:t>
      </w:r>
      <w:r w:rsidR="000A0540" w:rsidRPr="00302A62">
        <w:rPr>
          <w:rFonts w:ascii="Century Gothic" w:hAnsi="Century Gothic"/>
          <w:sz w:val="24"/>
          <w:szCs w:val="24"/>
        </w:rPr>
        <w:t xml:space="preserve"> con el voto mayoritario de sus miembros ha adoptado el siguiente borrador de resolución.</w:t>
      </w:r>
    </w:p>
    <w:p w14:paraId="066F6BC0" w14:textId="77777777" w:rsidR="00096E92" w:rsidRPr="00E47460" w:rsidRDefault="00096E92" w:rsidP="004631EF">
      <w:pPr>
        <w:pBdr>
          <w:top w:val="nil"/>
          <w:left w:val="nil"/>
          <w:bottom w:val="nil"/>
          <w:right w:val="nil"/>
          <w:between w:val="nil"/>
        </w:pBdr>
        <w:spacing w:before="11"/>
        <w:ind w:right="-41"/>
        <w:rPr>
          <w:rFonts w:ascii="Century Gothic" w:hAnsi="Century Gothic"/>
          <w:color w:val="000000"/>
          <w:sz w:val="24"/>
          <w:szCs w:val="24"/>
        </w:rPr>
      </w:pPr>
    </w:p>
    <w:p w14:paraId="7B8557B3" w14:textId="77777777" w:rsidR="00096E92" w:rsidRPr="00E47460" w:rsidRDefault="00BE582B" w:rsidP="004631EF">
      <w:pPr>
        <w:pBdr>
          <w:top w:val="nil"/>
          <w:left w:val="nil"/>
          <w:bottom w:val="nil"/>
          <w:right w:val="nil"/>
          <w:between w:val="nil"/>
        </w:pBdr>
        <w:spacing w:before="1"/>
        <w:ind w:right="-41"/>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VISTA: </w:t>
      </w:r>
      <w:r w:rsidRPr="00E47460">
        <w:rPr>
          <w:rFonts w:ascii="Century Gothic" w:hAnsi="Century Gothic"/>
          <w:color w:val="000000"/>
          <w:sz w:val="24"/>
          <w:szCs w:val="24"/>
        </w:rPr>
        <w:t>La Constitución vigente de la República Dominicana;</w:t>
      </w:r>
    </w:p>
    <w:p w14:paraId="45825BA6" w14:textId="77777777" w:rsidR="00096E92" w:rsidRPr="00E47460" w:rsidRDefault="00096E92" w:rsidP="004631EF">
      <w:pPr>
        <w:pBdr>
          <w:top w:val="nil"/>
          <w:left w:val="nil"/>
          <w:bottom w:val="nil"/>
          <w:right w:val="nil"/>
          <w:between w:val="nil"/>
        </w:pBdr>
        <w:spacing w:before="8"/>
        <w:ind w:right="-41"/>
        <w:rPr>
          <w:rFonts w:ascii="Century Gothic" w:hAnsi="Century Gothic"/>
          <w:color w:val="000000"/>
          <w:sz w:val="24"/>
          <w:szCs w:val="24"/>
        </w:rPr>
      </w:pPr>
    </w:p>
    <w:p w14:paraId="3502BF41" w14:textId="77777777" w:rsidR="00096E92" w:rsidRPr="00E47460" w:rsidRDefault="00BE582B" w:rsidP="004631EF">
      <w:pPr>
        <w:pBdr>
          <w:top w:val="nil"/>
          <w:left w:val="nil"/>
          <w:bottom w:val="nil"/>
          <w:right w:val="nil"/>
          <w:between w:val="nil"/>
        </w:pBdr>
        <w:spacing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VISTA: </w:t>
      </w:r>
      <w:r w:rsidRPr="00E47460">
        <w:rPr>
          <w:rFonts w:ascii="Century Gothic" w:hAnsi="Century Gothic"/>
          <w:color w:val="000000"/>
          <w:sz w:val="24"/>
          <w:szCs w:val="24"/>
        </w:rPr>
        <w:t xml:space="preserve">La </w:t>
      </w:r>
      <w:r w:rsidR="00337A8E" w:rsidRPr="00E47460">
        <w:rPr>
          <w:rFonts w:ascii="Century Gothic" w:hAnsi="Century Gothic"/>
          <w:color w:val="000000"/>
          <w:sz w:val="24"/>
          <w:szCs w:val="24"/>
        </w:rPr>
        <w:t>Declaración</w:t>
      </w:r>
      <w:r w:rsidRPr="00E47460">
        <w:rPr>
          <w:rFonts w:ascii="Century Gothic" w:hAnsi="Century Gothic"/>
          <w:color w:val="000000"/>
          <w:sz w:val="24"/>
          <w:szCs w:val="24"/>
        </w:rPr>
        <w:t xml:space="preserve"> Universal de los Derechos Humanos del </w:t>
      </w:r>
      <w:r w:rsidR="00BB40A9">
        <w:rPr>
          <w:rFonts w:ascii="Century Gothic" w:hAnsi="Century Gothic"/>
          <w:color w:val="000000"/>
          <w:sz w:val="24"/>
          <w:szCs w:val="24"/>
        </w:rPr>
        <w:t>diez (</w:t>
      </w:r>
      <w:r w:rsidRPr="00E47460">
        <w:rPr>
          <w:rFonts w:ascii="Century Gothic" w:hAnsi="Century Gothic"/>
          <w:color w:val="000000"/>
          <w:sz w:val="24"/>
          <w:szCs w:val="24"/>
        </w:rPr>
        <w:t>10</w:t>
      </w:r>
      <w:r w:rsidR="00BB40A9">
        <w:rPr>
          <w:rFonts w:ascii="Century Gothic" w:hAnsi="Century Gothic"/>
          <w:color w:val="000000"/>
          <w:sz w:val="24"/>
          <w:szCs w:val="24"/>
        </w:rPr>
        <w:t>)</w:t>
      </w:r>
      <w:r w:rsidRPr="00E47460">
        <w:rPr>
          <w:rFonts w:ascii="Century Gothic" w:hAnsi="Century Gothic"/>
          <w:color w:val="000000"/>
          <w:sz w:val="24"/>
          <w:szCs w:val="24"/>
        </w:rPr>
        <w:t xml:space="preserve"> de diciembre de 1948;</w:t>
      </w:r>
    </w:p>
    <w:p w14:paraId="456FF32F" w14:textId="77777777" w:rsidR="00096E92" w:rsidRPr="00E47460" w:rsidRDefault="00096E92" w:rsidP="004631EF">
      <w:pPr>
        <w:pBdr>
          <w:top w:val="nil"/>
          <w:left w:val="nil"/>
          <w:bottom w:val="nil"/>
          <w:right w:val="nil"/>
          <w:between w:val="nil"/>
        </w:pBdr>
        <w:spacing w:before="10"/>
        <w:ind w:right="-41"/>
        <w:rPr>
          <w:rFonts w:ascii="Century Gothic" w:hAnsi="Century Gothic"/>
          <w:color w:val="000000"/>
          <w:sz w:val="24"/>
          <w:szCs w:val="24"/>
        </w:rPr>
      </w:pPr>
    </w:p>
    <w:p w14:paraId="72D1325B" w14:textId="77777777" w:rsidR="00096E92" w:rsidRPr="00E47460" w:rsidRDefault="00BE582B" w:rsidP="004631EF">
      <w:pPr>
        <w:pBdr>
          <w:top w:val="nil"/>
          <w:left w:val="nil"/>
          <w:bottom w:val="nil"/>
          <w:right w:val="nil"/>
          <w:between w:val="nil"/>
        </w:pBdr>
        <w:spacing w:before="1"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VISTO: </w:t>
      </w:r>
      <w:r w:rsidRPr="00E47460">
        <w:rPr>
          <w:rFonts w:ascii="Century Gothic" w:hAnsi="Century Gothic"/>
          <w:color w:val="000000"/>
          <w:sz w:val="24"/>
          <w:szCs w:val="24"/>
        </w:rPr>
        <w:t xml:space="preserve">El Pacto Internacional de Derechos Civiles y </w:t>
      </w:r>
      <w:r w:rsidR="00337A8E" w:rsidRPr="00E47460">
        <w:rPr>
          <w:rFonts w:ascii="Century Gothic" w:hAnsi="Century Gothic"/>
          <w:color w:val="000000"/>
          <w:sz w:val="24"/>
          <w:szCs w:val="24"/>
        </w:rPr>
        <w:t>Políticos</w:t>
      </w:r>
      <w:r w:rsidRPr="00E47460">
        <w:rPr>
          <w:rFonts w:ascii="Century Gothic" w:hAnsi="Century Gothic"/>
          <w:color w:val="000000"/>
          <w:sz w:val="24"/>
          <w:szCs w:val="24"/>
        </w:rPr>
        <w:t xml:space="preserve"> del </w:t>
      </w:r>
      <w:r w:rsidR="00BB40A9">
        <w:rPr>
          <w:rFonts w:ascii="Century Gothic" w:hAnsi="Century Gothic"/>
          <w:color w:val="000000"/>
          <w:sz w:val="24"/>
          <w:szCs w:val="24"/>
        </w:rPr>
        <w:t>dieciséis (</w:t>
      </w:r>
      <w:r w:rsidRPr="00E47460">
        <w:rPr>
          <w:rFonts w:ascii="Century Gothic" w:hAnsi="Century Gothic"/>
          <w:color w:val="000000"/>
          <w:sz w:val="24"/>
          <w:szCs w:val="24"/>
        </w:rPr>
        <w:t>16</w:t>
      </w:r>
      <w:r w:rsidR="00BB40A9">
        <w:rPr>
          <w:rFonts w:ascii="Century Gothic" w:hAnsi="Century Gothic"/>
          <w:color w:val="000000"/>
          <w:sz w:val="24"/>
          <w:szCs w:val="24"/>
        </w:rPr>
        <w:t>)</w:t>
      </w:r>
      <w:r w:rsidRPr="00E47460">
        <w:rPr>
          <w:rFonts w:ascii="Century Gothic" w:hAnsi="Century Gothic"/>
          <w:color w:val="000000"/>
          <w:sz w:val="24"/>
          <w:szCs w:val="24"/>
        </w:rPr>
        <w:t xml:space="preserve"> de diciembre de 1966;</w:t>
      </w:r>
    </w:p>
    <w:p w14:paraId="5E85B68E" w14:textId="77777777" w:rsidR="00096E92" w:rsidRPr="00E47460" w:rsidRDefault="00096E92" w:rsidP="004631EF">
      <w:pPr>
        <w:pBdr>
          <w:top w:val="nil"/>
          <w:left w:val="nil"/>
          <w:bottom w:val="nil"/>
          <w:right w:val="nil"/>
          <w:between w:val="nil"/>
        </w:pBdr>
        <w:spacing w:before="10"/>
        <w:ind w:right="-41"/>
        <w:rPr>
          <w:rFonts w:ascii="Century Gothic" w:hAnsi="Century Gothic"/>
          <w:color w:val="000000"/>
          <w:sz w:val="24"/>
          <w:szCs w:val="24"/>
        </w:rPr>
      </w:pPr>
    </w:p>
    <w:p w14:paraId="4AB95C32" w14:textId="77777777" w:rsidR="00096E92" w:rsidRPr="00E47460" w:rsidRDefault="00BE582B" w:rsidP="004631EF">
      <w:pPr>
        <w:pBdr>
          <w:top w:val="nil"/>
          <w:left w:val="nil"/>
          <w:bottom w:val="nil"/>
          <w:right w:val="nil"/>
          <w:between w:val="nil"/>
        </w:pBdr>
        <w:spacing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VISTA: </w:t>
      </w:r>
      <w:r w:rsidRPr="00E47460">
        <w:rPr>
          <w:rFonts w:ascii="Century Gothic" w:hAnsi="Century Gothic"/>
          <w:color w:val="000000"/>
          <w:sz w:val="24"/>
          <w:szCs w:val="24"/>
        </w:rPr>
        <w:t>La Convención Americana de los Derechos Humanos “Pacto de San José” de 1978;</w:t>
      </w:r>
    </w:p>
    <w:p w14:paraId="4412D89C" w14:textId="77777777" w:rsidR="00096E92" w:rsidRPr="00E47460" w:rsidRDefault="00096E92" w:rsidP="004631EF">
      <w:pPr>
        <w:pBdr>
          <w:top w:val="nil"/>
          <w:left w:val="nil"/>
          <w:bottom w:val="nil"/>
          <w:right w:val="nil"/>
          <w:between w:val="nil"/>
        </w:pBdr>
        <w:spacing w:before="10"/>
        <w:ind w:right="-41"/>
        <w:rPr>
          <w:rFonts w:ascii="Century Gothic" w:hAnsi="Century Gothic"/>
          <w:color w:val="000000"/>
          <w:sz w:val="24"/>
          <w:szCs w:val="24"/>
        </w:rPr>
      </w:pPr>
    </w:p>
    <w:p w14:paraId="220CA879" w14:textId="77777777" w:rsidR="00096E92" w:rsidRPr="00E47460" w:rsidRDefault="00BE582B" w:rsidP="004631EF">
      <w:pPr>
        <w:pBdr>
          <w:top w:val="nil"/>
          <w:left w:val="nil"/>
          <w:bottom w:val="nil"/>
          <w:right w:val="nil"/>
          <w:between w:val="nil"/>
        </w:pBdr>
        <w:spacing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VISTA: </w:t>
      </w:r>
      <w:r w:rsidRPr="00E47460">
        <w:rPr>
          <w:rFonts w:ascii="Century Gothic" w:hAnsi="Century Gothic"/>
          <w:color w:val="000000"/>
          <w:sz w:val="24"/>
          <w:szCs w:val="24"/>
        </w:rPr>
        <w:t>La Ley Orgánica de Régimen Electoral N</w:t>
      </w:r>
      <w:r w:rsidR="00337A8E" w:rsidRPr="00E47460">
        <w:rPr>
          <w:rFonts w:ascii="Century Gothic" w:hAnsi="Century Gothic"/>
          <w:color w:val="000000"/>
          <w:sz w:val="24"/>
          <w:szCs w:val="24"/>
        </w:rPr>
        <w:t>o</w:t>
      </w:r>
      <w:r w:rsidRPr="00E47460">
        <w:rPr>
          <w:rFonts w:ascii="Century Gothic" w:hAnsi="Century Gothic"/>
          <w:color w:val="000000"/>
          <w:sz w:val="24"/>
          <w:szCs w:val="24"/>
        </w:rPr>
        <w:t xml:space="preserve">. 20-23, </w:t>
      </w:r>
      <w:r w:rsidR="00337A8E" w:rsidRPr="00E47460">
        <w:rPr>
          <w:rFonts w:ascii="Century Gothic" w:hAnsi="Century Gothic"/>
          <w:color w:val="000000"/>
          <w:sz w:val="24"/>
          <w:szCs w:val="24"/>
        </w:rPr>
        <w:t xml:space="preserve">promulgada </w:t>
      </w:r>
      <w:r w:rsidR="00302A62" w:rsidRPr="00E47460">
        <w:rPr>
          <w:rFonts w:ascii="Century Gothic" w:hAnsi="Century Gothic"/>
          <w:color w:val="000000"/>
          <w:sz w:val="24"/>
          <w:szCs w:val="24"/>
        </w:rPr>
        <w:t xml:space="preserve">el </w:t>
      </w:r>
      <w:r w:rsidR="00302A62">
        <w:rPr>
          <w:rFonts w:ascii="Century Gothic" w:hAnsi="Century Gothic"/>
          <w:color w:val="000000"/>
          <w:sz w:val="24"/>
          <w:szCs w:val="24"/>
        </w:rPr>
        <w:t>diecisiete</w:t>
      </w:r>
      <w:r w:rsidR="00BB40A9">
        <w:rPr>
          <w:rFonts w:ascii="Century Gothic" w:hAnsi="Century Gothic"/>
          <w:color w:val="000000"/>
          <w:sz w:val="24"/>
          <w:szCs w:val="24"/>
        </w:rPr>
        <w:t xml:space="preserve"> (</w:t>
      </w:r>
      <w:r w:rsidRPr="00E47460">
        <w:rPr>
          <w:rFonts w:ascii="Century Gothic" w:hAnsi="Century Gothic"/>
          <w:color w:val="000000"/>
          <w:sz w:val="24"/>
          <w:szCs w:val="24"/>
        </w:rPr>
        <w:t>17</w:t>
      </w:r>
      <w:r w:rsidR="00BB40A9">
        <w:rPr>
          <w:rFonts w:ascii="Century Gothic" w:hAnsi="Century Gothic"/>
          <w:color w:val="000000"/>
          <w:sz w:val="24"/>
          <w:szCs w:val="24"/>
        </w:rPr>
        <w:t>)</w:t>
      </w:r>
      <w:r w:rsidRPr="00E47460">
        <w:rPr>
          <w:rFonts w:ascii="Century Gothic" w:hAnsi="Century Gothic"/>
          <w:color w:val="000000"/>
          <w:sz w:val="24"/>
          <w:szCs w:val="24"/>
        </w:rPr>
        <w:t xml:space="preserve"> de febrero de 2023</w:t>
      </w:r>
      <w:r w:rsidR="00337A8E" w:rsidRPr="00E47460">
        <w:rPr>
          <w:rFonts w:ascii="Century Gothic" w:hAnsi="Century Gothic"/>
          <w:color w:val="000000"/>
          <w:sz w:val="24"/>
          <w:szCs w:val="24"/>
        </w:rPr>
        <w:t xml:space="preserve"> y</w:t>
      </w:r>
      <w:r w:rsidRPr="00E47460">
        <w:rPr>
          <w:rFonts w:ascii="Century Gothic" w:hAnsi="Century Gothic"/>
          <w:color w:val="000000"/>
          <w:sz w:val="24"/>
          <w:szCs w:val="24"/>
        </w:rPr>
        <w:t xml:space="preserve"> </w:t>
      </w:r>
      <w:r w:rsidR="00337A8E" w:rsidRPr="00E47460">
        <w:rPr>
          <w:rFonts w:ascii="Century Gothic" w:hAnsi="Century Gothic"/>
          <w:color w:val="000000"/>
          <w:sz w:val="24"/>
          <w:szCs w:val="24"/>
        </w:rPr>
        <w:t xml:space="preserve">publicada en la </w:t>
      </w:r>
      <w:r w:rsidRPr="00E47460">
        <w:rPr>
          <w:rFonts w:ascii="Century Gothic" w:hAnsi="Century Gothic"/>
          <w:color w:val="000000"/>
          <w:sz w:val="24"/>
          <w:szCs w:val="24"/>
        </w:rPr>
        <w:t>G.O. No. 11100 del 21 de febrero de 2023;</w:t>
      </w:r>
    </w:p>
    <w:p w14:paraId="5AA7EE97" w14:textId="77777777" w:rsidR="00096E92" w:rsidRPr="00E47460" w:rsidRDefault="00096E92" w:rsidP="004631EF">
      <w:pPr>
        <w:pBdr>
          <w:top w:val="nil"/>
          <w:left w:val="nil"/>
          <w:bottom w:val="nil"/>
          <w:right w:val="nil"/>
          <w:between w:val="nil"/>
        </w:pBdr>
        <w:spacing w:before="11"/>
        <w:ind w:right="-41"/>
        <w:rPr>
          <w:rFonts w:ascii="Century Gothic" w:hAnsi="Century Gothic"/>
          <w:color w:val="000000"/>
          <w:sz w:val="24"/>
          <w:szCs w:val="24"/>
        </w:rPr>
      </w:pPr>
    </w:p>
    <w:p w14:paraId="7778FF61" w14:textId="77777777" w:rsidR="00096E92" w:rsidRPr="00E47460" w:rsidRDefault="00BE582B" w:rsidP="004631EF">
      <w:pPr>
        <w:pBdr>
          <w:top w:val="nil"/>
          <w:left w:val="nil"/>
          <w:bottom w:val="nil"/>
          <w:right w:val="nil"/>
          <w:between w:val="nil"/>
        </w:pBdr>
        <w:spacing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VISTA: </w:t>
      </w:r>
      <w:r w:rsidRPr="00E47460">
        <w:rPr>
          <w:rFonts w:ascii="Century Gothic" w:hAnsi="Century Gothic"/>
          <w:color w:val="000000"/>
          <w:sz w:val="24"/>
          <w:szCs w:val="24"/>
        </w:rPr>
        <w:t xml:space="preserve">La Ley No. 33-18, de Partidos, Agrupaciones y Movimientos Políticos, promulgada en fecha </w:t>
      </w:r>
      <w:r w:rsidR="00BB40A9">
        <w:rPr>
          <w:rFonts w:ascii="Century Gothic" w:hAnsi="Century Gothic"/>
          <w:color w:val="000000"/>
          <w:sz w:val="24"/>
          <w:szCs w:val="24"/>
        </w:rPr>
        <w:t>trece (</w:t>
      </w:r>
      <w:r w:rsidRPr="00E47460">
        <w:rPr>
          <w:rFonts w:ascii="Century Gothic" w:hAnsi="Century Gothic"/>
          <w:color w:val="000000"/>
          <w:sz w:val="24"/>
          <w:szCs w:val="24"/>
        </w:rPr>
        <w:t>13</w:t>
      </w:r>
      <w:r w:rsidR="00BB40A9">
        <w:rPr>
          <w:rFonts w:ascii="Century Gothic" w:hAnsi="Century Gothic"/>
          <w:color w:val="000000"/>
          <w:sz w:val="24"/>
          <w:szCs w:val="24"/>
        </w:rPr>
        <w:t>)</w:t>
      </w:r>
      <w:r w:rsidRPr="00E47460">
        <w:rPr>
          <w:rFonts w:ascii="Century Gothic" w:hAnsi="Century Gothic"/>
          <w:color w:val="000000"/>
          <w:sz w:val="24"/>
          <w:szCs w:val="24"/>
        </w:rPr>
        <w:t xml:space="preserve"> de agosto de 2018 y publicada en la G.O. No. 10917 del </w:t>
      </w:r>
      <w:r w:rsidR="00BB40A9">
        <w:rPr>
          <w:rFonts w:ascii="Century Gothic" w:hAnsi="Century Gothic"/>
          <w:color w:val="000000"/>
          <w:sz w:val="24"/>
          <w:szCs w:val="24"/>
        </w:rPr>
        <w:t>quince (</w:t>
      </w:r>
      <w:r w:rsidRPr="00E47460">
        <w:rPr>
          <w:rFonts w:ascii="Century Gothic" w:hAnsi="Century Gothic"/>
          <w:color w:val="000000"/>
          <w:sz w:val="24"/>
          <w:szCs w:val="24"/>
        </w:rPr>
        <w:t>15</w:t>
      </w:r>
      <w:r w:rsidR="00BB40A9">
        <w:rPr>
          <w:rFonts w:ascii="Century Gothic" w:hAnsi="Century Gothic"/>
          <w:color w:val="000000"/>
          <w:sz w:val="24"/>
          <w:szCs w:val="24"/>
        </w:rPr>
        <w:t>)</w:t>
      </w:r>
      <w:r w:rsidRPr="00E47460">
        <w:rPr>
          <w:rFonts w:ascii="Century Gothic" w:hAnsi="Century Gothic"/>
          <w:color w:val="000000"/>
          <w:sz w:val="24"/>
          <w:szCs w:val="24"/>
        </w:rPr>
        <w:t xml:space="preserve"> de agosto de 2018.</w:t>
      </w:r>
    </w:p>
    <w:p w14:paraId="77EA14FC" w14:textId="77777777" w:rsidR="00096E92" w:rsidRPr="00E47460" w:rsidRDefault="00096E92" w:rsidP="004631EF">
      <w:pPr>
        <w:pBdr>
          <w:top w:val="nil"/>
          <w:left w:val="nil"/>
          <w:bottom w:val="nil"/>
          <w:right w:val="nil"/>
          <w:between w:val="nil"/>
        </w:pBdr>
        <w:spacing w:before="11"/>
        <w:ind w:right="-41"/>
        <w:rPr>
          <w:rFonts w:ascii="Century Gothic" w:hAnsi="Century Gothic"/>
          <w:color w:val="000000"/>
          <w:sz w:val="24"/>
          <w:szCs w:val="24"/>
        </w:rPr>
      </w:pPr>
    </w:p>
    <w:p w14:paraId="6A340559" w14:textId="77777777" w:rsidR="00096E92" w:rsidRPr="00E47460" w:rsidRDefault="00BE582B" w:rsidP="004631EF">
      <w:pPr>
        <w:pBdr>
          <w:top w:val="nil"/>
          <w:left w:val="nil"/>
          <w:bottom w:val="nil"/>
          <w:right w:val="nil"/>
          <w:between w:val="nil"/>
        </w:pBdr>
        <w:spacing w:line="278"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 xml:space="preserve">Que, el fundamento constitucional que habilita el ejercicio de los derechos de ciudadanía en la República Dominicana se encuentra previsto en el </w:t>
      </w:r>
      <w:r w:rsidR="00337A8E" w:rsidRPr="00E47460">
        <w:rPr>
          <w:rFonts w:ascii="Century Gothic" w:hAnsi="Century Gothic"/>
          <w:color w:val="000000"/>
          <w:sz w:val="24"/>
          <w:szCs w:val="24"/>
        </w:rPr>
        <w:t>a</w:t>
      </w:r>
      <w:r w:rsidRPr="00E47460">
        <w:rPr>
          <w:rFonts w:ascii="Century Gothic" w:hAnsi="Century Gothic"/>
          <w:color w:val="000000"/>
          <w:sz w:val="24"/>
          <w:szCs w:val="24"/>
        </w:rPr>
        <w:t xml:space="preserve">rtículo 22 de la Constitución de la República, </w:t>
      </w:r>
      <w:r w:rsidR="00337A8E" w:rsidRPr="00E47460">
        <w:rPr>
          <w:rFonts w:ascii="Century Gothic" w:hAnsi="Century Gothic"/>
          <w:color w:val="000000"/>
          <w:sz w:val="24"/>
          <w:szCs w:val="24"/>
        </w:rPr>
        <w:t>que</w:t>
      </w:r>
      <w:r w:rsidRPr="00E47460">
        <w:rPr>
          <w:rFonts w:ascii="Century Gothic" w:hAnsi="Century Gothic"/>
          <w:color w:val="000000"/>
          <w:sz w:val="24"/>
          <w:szCs w:val="24"/>
        </w:rPr>
        <w:t xml:space="preserve"> establece en su numeral 1 lo siguiente: </w:t>
      </w:r>
      <w:r w:rsidR="00337A8E" w:rsidRPr="00E47460">
        <w:rPr>
          <w:rFonts w:ascii="Century Gothic" w:hAnsi="Century Gothic"/>
          <w:color w:val="000000"/>
          <w:sz w:val="24"/>
          <w:szCs w:val="24"/>
        </w:rPr>
        <w:t>“</w:t>
      </w:r>
      <w:r w:rsidRPr="00E47460">
        <w:rPr>
          <w:rFonts w:ascii="Century Gothic" w:hAnsi="Century Gothic"/>
          <w:color w:val="000000"/>
          <w:sz w:val="24"/>
          <w:szCs w:val="24"/>
        </w:rPr>
        <w:t>Son derechos de ciudadanas y ciudadanos: 1) Elegir y ser elegibles para los cargos que establece la presente Constitución…”.</w:t>
      </w:r>
    </w:p>
    <w:p w14:paraId="68BE26A2" w14:textId="77777777" w:rsidR="00096E92" w:rsidRPr="00E47460" w:rsidRDefault="00096E92" w:rsidP="004631EF">
      <w:pPr>
        <w:pBdr>
          <w:top w:val="nil"/>
          <w:left w:val="nil"/>
          <w:bottom w:val="nil"/>
          <w:right w:val="nil"/>
          <w:between w:val="nil"/>
        </w:pBdr>
        <w:spacing w:before="10"/>
        <w:ind w:right="-41"/>
        <w:rPr>
          <w:rFonts w:ascii="Century Gothic" w:hAnsi="Century Gothic"/>
          <w:color w:val="000000"/>
          <w:sz w:val="24"/>
          <w:szCs w:val="24"/>
        </w:rPr>
      </w:pPr>
    </w:p>
    <w:p w14:paraId="61DD05FE" w14:textId="77777777" w:rsidR="00D426C0" w:rsidRPr="00E47460" w:rsidRDefault="00BE582B" w:rsidP="003865F1">
      <w:pPr>
        <w:pBdr>
          <w:top w:val="nil"/>
          <w:left w:val="nil"/>
          <w:bottom w:val="nil"/>
          <w:right w:val="nil"/>
          <w:between w:val="nil"/>
        </w:pBdr>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 xml:space="preserve">Que, la Constitución de la República, establece en su </w:t>
      </w:r>
      <w:r w:rsidR="00D426C0" w:rsidRPr="00E47460">
        <w:rPr>
          <w:rFonts w:ascii="Century Gothic" w:hAnsi="Century Gothic"/>
          <w:color w:val="000000"/>
          <w:sz w:val="24"/>
          <w:szCs w:val="24"/>
        </w:rPr>
        <w:t>a</w:t>
      </w:r>
      <w:r w:rsidRPr="00E47460">
        <w:rPr>
          <w:rFonts w:ascii="Century Gothic" w:hAnsi="Century Gothic"/>
          <w:color w:val="000000"/>
          <w:sz w:val="24"/>
          <w:szCs w:val="24"/>
        </w:rPr>
        <w:t>rtículo</w:t>
      </w:r>
      <w:r w:rsidR="00BB40A9">
        <w:rPr>
          <w:rFonts w:ascii="Century Gothic" w:hAnsi="Century Gothic"/>
          <w:color w:val="000000"/>
          <w:sz w:val="24"/>
          <w:szCs w:val="24"/>
        </w:rPr>
        <w:t xml:space="preserve"> </w:t>
      </w:r>
      <w:r w:rsidRPr="00E47460">
        <w:rPr>
          <w:rFonts w:ascii="Century Gothic" w:hAnsi="Century Gothic"/>
          <w:color w:val="000000"/>
          <w:sz w:val="24"/>
          <w:szCs w:val="24"/>
        </w:rPr>
        <w:t xml:space="preserve">208, lo siguiente: </w:t>
      </w:r>
    </w:p>
    <w:p w14:paraId="773BC5C0" w14:textId="77777777" w:rsidR="00D426C0" w:rsidRPr="00E47460" w:rsidRDefault="00D426C0" w:rsidP="003865F1">
      <w:pPr>
        <w:pBdr>
          <w:top w:val="nil"/>
          <w:left w:val="nil"/>
          <w:bottom w:val="nil"/>
          <w:right w:val="nil"/>
          <w:between w:val="nil"/>
        </w:pBdr>
        <w:ind w:left="120"/>
        <w:jc w:val="both"/>
        <w:rPr>
          <w:rFonts w:ascii="Century Gothic" w:hAnsi="Century Gothic"/>
          <w:color w:val="000000"/>
          <w:sz w:val="24"/>
          <w:szCs w:val="24"/>
        </w:rPr>
      </w:pPr>
    </w:p>
    <w:p w14:paraId="4B1E46D8" w14:textId="77777777" w:rsidR="00096E92" w:rsidRPr="00E47460" w:rsidRDefault="00BE582B" w:rsidP="003865F1">
      <w:pPr>
        <w:pBdr>
          <w:top w:val="nil"/>
          <w:left w:val="nil"/>
          <w:bottom w:val="nil"/>
          <w:right w:val="nil"/>
          <w:between w:val="nil"/>
        </w:pBdr>
        <w:spacing w:line="276" w:lineRule="auto"/>
        <w:ind w:left="851" w:right="951"/>
        <w:jc w:val="both"/>
        <w:rPr>
          <w:rFonts w:ascii="Century Gothic" w:hAnsi="Century Gothic"/>
          <w:color w:val="000000"/>
          <w:sz w:val="24"/>
          <w:szCs w:val="24"/>
        </w:rPr>
      </w:pPr>
      <w:r w:rsidRPr="00E47460">
        <w:rPr>
          <w:rFonts w:ascii="Century Gothic" w:hAnsi="Century Gothic"/>
          <w:color w:val="000000"/>
          <w:sz w:val="24"/>
          <w:szCs w:val="24"/>
        </w:rPr>
        <w:t>“</w:t>
      </w:r>
      <w:r w:rsidR="00D426C0" w:rsidRPr="00E47460">
        <w:rPr>
          <w:rFonts w:ascii="Century Gothic" w:hAnsi="Century Gothic"/>
          <w:b/>
          <w:color w:val="000000"/>
          <w:sz w:val="24"/>
          <w:szCs w:val="24"/>
        </w:rPr>
        <w:t xml:space="preserve">Artículo 208. </w:t>
      </w:r>
      <w:r w:rsidRPr="00E47460">
        <w:rPr>
          <w:rFonts w:ascii="Century Gothic" w:hAnsi="Century Gothic"/>
          <w:b/>
          <w:color w:val="000000"/>
          <w:sz w:val="24"/>
          <w:szCs w:val="24"/>
        </w:rPr>
        <w:t>Ejercicio del sufragio</w:t>
      </w:r>
      <w:r w:rsidRPr="00E47460">
        <w:rPr>
          <w:rFonts w:ascii="Century Gothic" w:hAnsi="Century Gothic"/>
          <w:color w:val="000000"/>
          <w:sz w:val="24"/>
          <w:szCs w:val="24"/>
        </w:rPr>
        <w:t>. Es un derecho y un deber de ciudadanas</w:t>
      </w:r>
      <w:r w:rsidR="00281A22" w:rsidRPr="00E47460">
        <w:rPr>
          <w:rFonts w:ascii="Century Gothic" w:hAnsi="Century Gothic"/>
          <w:color w:val="000000"/>
          <w:sz w:val="24"/>
          <w:szCs w:val="24"/>
        </w:rPr>
        <w:t xml:space="preserve"> </w:t>
      </w:r>
      <w:r w:rsidRPr="00E47460">
        <w:rPr>
          <w:rFonts w:ascii="Century Gothic" w:hAnsi="Century Gothic"/>
          <w:color w:val="000000"/>
          <w:sz w:val="24"/>
          <w:szCs w:val="24"/>
        </w:rPr>
        <w:t>y ciudadanos el ejercicio del sufragio para elegir a las autoridades de gobierno y para participar en referendos. El voto es personal, libre, directo y secreto. Nadie puede ser obligado o coaccionado, bajo ningún pretexto, en el ejercicio de su derecho al sufragio ni a revelar su voto. Párrafo. - No tienen derecho al sufragio los miembros de las Fuerzas Armadas y de la Policía Nacional, ni quienes hayan perdido los derechos de ciudadanía o se encuentren suspendidos en tales derechos”.</w:t>
      </w:r>
    </w:p>
    <w:p w14:paraId="63909C1E" w14:textId="77777777" w:rsidR="00096E92" w:rsidRPr="00E47460" w:rsidRDefault="00096E92">
      <w:pPr>
        <w:pBdr>
          <w:top w:val="nil"/>
          <w:left w:val="nil"/>
          <w:bottom w:val="nil"/>
          <w:right w:val="nil"/>
          <w:between w:val="nil"/>
        </w:pBdr>
        <w:spacing w:before="10"/>
        <w:rPr>
          <w:rFonts w:ascii="Century Gothic" w:hAnsi="Century Gothic"/>
          <w:color w:val="000000"/>
          <w:sz w:val="24"/>
          <w:szCs w:val="24"/>
        </w:rPr>
      </w:pPr>
    </w:p>
    <w:p w14:paraId="3DC207F6" w14:textId="77777777" w:rsidR="00096E92" w:rsidRPr="00E47460" w:rsidRDefault="00BE582B" w:rsidP="003865F1">
      <w:pPr>
        <w:pBdr>
          <w:top w:val="nil"/>
          <w:left w:val="nil"/>
          <w:bottom w:val="nil"/>
          <w:right w:val="nil"/>
          <w:between w:val="nil"/>
        </w:pBdr>
        <w:spacing w:before="1"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Que, el régimen constitucional de los partidos, agrupaciones y movimientos políticos se encuentra previsto en el artículo 216 de la Constitución de la República, el cual establece que:</w:t>
      </w:r>
    </w:p>
    <w:p w14:paraId="57B832C5" w14:textId="77777777" w:rsidR="00096E92" w:rsidRPr="00E47460" w:rsidRDefault="00096E92">
      <w:pPr>
        <w:pBdr>
          <w:top w:val="nil"/>
          <w:left w:val="nil"/>
          <w:bottom w:val="nil"/>
          <w:right w:val="nil"/>
          <w:between w:val="nil"/>
        </w:pBdr>
        <w:spacing w:before="9"/>
        <w:rPr>
          <w:rFonts w:ascii="Century Gothic" w:hAnsi="Century Gothic"/>
          <w:color w:val="000000"/>
          <w:sz w:val="24"/>
          <w:szCs w:val="24"/>
        </w:rPr>
      </w:pPr>
    </w:p>
    <w:p w14:paraId="50809791" w14:textId="77777777" w:rsidR="00096E92" w:rsidRPr="00E47460" w:rsidRDefault="00BE582B" w:rsidP="003865F1">
      <w:pPr>
        <w:pBdr>
          <w:top w:val="nil"/>
          <w:left w:val="nil"/>
          <w:bottom w:val="nil"/>
          <w:right w:val="nil"/>
          <w:between w:val="nil"/>
        </w:pBdr>
        <w:spacing w:before="1" w:line="276" w:lineRule="auto"/>
        <w:ind w:left="857" w:right="990"/>
        <w:jc w:val="both"/>
        <w:rPr>
          <w:rFonts w:ascii="Century Gothic" w:hAnsi="Century Gothic"/>
          <w:color w:val="000000"/>
          <w:sz w:val="24"/>
          <w:szCs w:val="24"/>
        </w:rPr>
      </w:pPr>
      <w:r w:rsidRPr="00E47460">
        <w:rPr>
          <w:rFonts w:ascii="Century Gothic" w:hAnsi="Century Gothic"/>
          <w:color w:val="000000"/>
          <w:sz w:val="24"/>
          <w:szCs w:val="24"/>
        </w:rPr>
        <w:t>“</w:t>
      </w:r>
      <w:r w:rsidRPr="00E47460">
        <w:rPr>
          <w:rFonts w:ascii="Century Gothic" w:eastAsia="Tahoma" w:hAnsi="Century Gothic" w:cs="Tahoma"/>
          <w:b/>
          <w:color w:val="000000"/>
          <w:sz w:val="24"/>
          <w:szCs w:val="24"/>
        </w:rPr>
        <w:t>Artículo 216.- Partidos políticos</w:t>
      </w:r>
      <w:r w:rsidRPr="00E47460">
        <w:rPr>
          <w:rFonts w:ascii="Century Gothic" w:hAnsi="Century Gothic"/>
          <w:color w:val="000000"/>
          <w:sz w:val="24"/>
          <w:szCs w:val="24"/>
        </w:rPr>
        <w:t>. La organización de partidos, agrupaciones y movimientos políticos es libre, con sujeción a los principios establecidos en esta Constitución. Su conformación y funcionamiento deben sustentarse en el respeto a la democracia interna y a la transparencia, de conformidad con la ley. Sus fines esenciales son: 1) Garantizar la participación de ciudadanos y ciudadanas en los procesos políticos que contribuyan al fortalecimiento de la democracia; 2) Contribuir, en igualdad de condiciones, a la formación y manifestación de la voluntad ciudadana, respetando el pluralismo político mediante la propuesta de candidaturas a los cargos de elección popular; 3) Servir al interés nacional, al bienestar colectivo y al desarrollo integral de la sociedad dominicana”.</w:t>
      </w:r>
    </w:p>
    <w:p w14:paraId="70437402" w14:textId="77777777" w:rsidR="00096E92" w:rsidRPr="00E47460" w:rsidRDefault="00096E92">
      <w:pPr>
        <w:pBdr>
          <w:top w:val="nil"/>
          <w:left w:val="nil"/>
          <w:bottom w:val="nil"/>
          <w:right w:val="nil"/>
          <w:between w:val="nil"/>
        </w:pBdr>
        <w:spacing w:before="11"/>
        <w:rPr>
          <w:rFonts w:ascii="Century Gothic" w:hAnsi="Century Gothic"/>
          <w:color w:val="000000"/>
          <w:sz w:val="24"/>
          <w:szCs w:val="24"/>
        </w:rPr>
      </w:pPr>
    </w:p>
    <w:p w14:paraId="66C664DD"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Que los partidos, agrupaciones y movimientos políticos, además de su fundamento constitucional, se rigen en base a lo dispuesto en la Ley No. 33-18, la cual consagra como una de las prerrogativas de dichas organizaciones, disponer de un porcentaje de reservas en las candidaturas a puestos de elección popular, según lo prevé el artículo 58 de la indicada ley, la cual dispone lo siguiente:</w:t>
      </w:r>
    </w:p>
    <w:p w14:paraId="6418611A" w14:textId="77777777" w:rsidR="00096E92" w:rsidRPr="00E47460" w:rsidRDefault="00096E92">
      <w:pPr>
        <w:pBdr>
          <w:top w:val="nil"/>
          <w:left w:val="nil"/>
          <w:bottom w:val="nil"/>
          <w:right w:val="nil"/>
          <w:between w:val="nil"/>
        </w:pBdr>
        <w:spacing w:before="11"/>
        <w:rPr>
          <w:rFonts w:ascii="Century Gothic" w:hAnsi="Century Gothic"/>
          <w:color w:val="000000"/>
          <w:sz w:val="24"/>
          <w:szCs w:val="24"/>
        </w:rPr>
      </w:pPr>
    </w:p>
    <w:p w14:paraId="16521517" w14:textId="77777777" w:rsidR="00096E92" w:rsidRPr="00E47460" w:rsidRDefault="00BE582B" w:rsidP="003865F1">
      <w:pPr>
        <w:pBdr>
          <w:top w:val="nil"/>
          <w:left w:val="nil"/>
          <w:bottom w:val="nil"/>
          <w:right w:val="nil"/>
          <w:between w:val="nil"/>
        </w:pBdr>
        <w:spacing w:line="276" w:lineRule="auto"/>
        <w:ind w:left="840" w:right="951"/>
        <w:jc w:val="both"/>
        <w:rPr>
          <w:rFonts w:ascii="Century Gothic" w:hAnsi="Century Gothic"/>
          <w:color w:val="000000"/>
          <w:sz w:val="24"/>
          <w:szCs w:val="24"/>
        </w:rPr>
      </w:pPr>
      <w:r w:rsidRPr="00E47460">
        <w:rPr>
          <w:rFonts w:ascii="Century Gothic" w:hAnsi="Century Gothic"/>
          <w:b/>
          <w:color w:val="000000"/>
          <w:sz w:val="24"/>
          <w:szCs w:val="24"/>
        </w:rPr>
        <w:t>“Artículo 58.</w:t>
      </w:r>
      <w:r w:rsidRPr="00E47460">
        <w:rPr>
          <w:rFonts w:ascii="Century Gothic" w:eastAsia="Tahoma" w:hAnsi="Century Gothic" w:cs="Tahoma"/>
          <w:b/>
          <w:color w:val="000000"/>
          <w:sz w:val="24"/>
          <w:szCs w:val="24"/>
        </w:rPr>
        <w:t xml:space="preserve">- Porcentaje para las reservas. </w:t>
      </w:r>
      <w:r w:rsidRPr="00E47460">
        <w:rPr>
          <w:rFonts w:ascii="Century Gothic" w:hAnsi="Century Gothic"/>
          <w:color w:val="000000"/>
          <w:sz w:val="24"/>
          <w:szCs w:val="24"/>
        </w:rPr>
        <w:t>En el marco de lo establecido en la Constitución y la presente ley, el organismo de máxima dirección colegiada de todo partido, agrupación o movimiento político, con la aprobación de sus integrantes, tiene el derecho de reservar a conveniencia de su organización política, incluyendo los puestos cedidos a dirigentes de la misma organización o por acuerdos, alianzas o fusiones con otros partidos, agrupaciones o movimientos políticos, un máximo de candidaturas a cargos de elección popular equivalente al veinte por ciento (20%) del total de las nominaciones para los puestos de senadores, diputados, alcaldes, regidores, directores, subdirectores y vocales de distritos municipales establecidas por la Constitución y las leyes…”</w:t>
      </w:r>
      <w:r w:rsidR="008731FF" w:rsidRPr="00E47460">
        <w:rPr>
          <w:rFonts w:ascii="Century Gothic" w:hAnsi="Century Gothic"/>
          <w:color w:val="000000"/>
          <w:sz w:val="24"/>
          <w:szCs w:val="24"/>
        </w:rPr>
        <w:t>.</w:t>
      </w:r>
    </w:p>
    <w:p w14:paraId="65FFC362" w14:textId="77777777" w:rsidR="008731FF" w:rsidRPr="00E47460" w:rsidRDefault="008731FF" w:rsidP="003865F1">
      <w:pPr>
        <w:pBdr>
          <w:top w:val="nil"/>
          <w:left w:val="nil"/>
          <w:bottom w:val="nil"/>
          <w:right w:val="nil"/>
          <w:between w:val="nil"/>
        </w:pBdr>
        <w:spacing w:line="276" w:lineRule="auto"/>
        <w:ind w:left="840" w:right="255"/>
        <w:jc w:val="both"/>
        <w:rPr>
          <w:rFonts w:ascii="Century Gothic" w:hAnsi="Century Gothic"/>
          <w:color w:val="000000"/>
          <w:sz w:val="24"/>
          <w:szCs w:val="24"/>
        </w:rPr>
      </w:pPr>
    </w:p>
    <w:p w14:paraId="1FF77101" w14:textId="77777777" w:rsidR="00096E92" w:rsidRPr="00E47460" w:rsidRDefault="00BE582B" w:rsidP="003865F1">
      <w:pPr>
        <w:pBdr>
          <w:top w:val="nil"/>
          <w:left w:val="nil"/>
          <w:bottom w:val="nil"/>
          <w:right w:val="nil"/>
          <w:between w:val="nil"/>
        </w:pBdr>
        <w:spacing w:before="39"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CONSIDERANDO</w:t>
      </w:r>
      <w:r w:rsidRPr="00E47460">
        <w:rPr>
          <w:rFonts w:ascii="Century Gothic" w:hAnsi="Century Gothic"/>
          <w:color w:val="000000"/>
          <w:sz w:val="24"/>
          <w:szCs w:val="24"/>
        </w:rPr>
        <w:t xml:space="preserve">: Que la Ley No. 33-18 de Partidos, Agrupaciones y Movimientos </w:t>
      </w:r>
      <w:r w:rsidR="001B782C" w:rsidRPr="00E47460">
        <w:rPr>
          <w:rFonts w:ascii="Century Gothic" w:hAnsi="Century Gothic"/>
          <w:color w:val="000000"/>
          <w:sz w:val="24"/>
          <w:szCs w:val="24"/>
        </w:rPr>
        <w:t>Políticos</w:t>
      </w:r>
      <w:r w:rsidRPr="00E47460">
        <w:rPr>
          <w:rFonts w:ascii="Century Gothic" w:hAnsi="Century Gothic"/>
          <w:color w:val="000000"/>
          <w:sz w:val="24"/>
          <w:szCs w:val="24"/>
        </w:rPr>
        <w:t>, establece en su artículo 82 lo siguiente:</w:t>
      </w:r>
    </w:p>
    <w:p w14:paraId="72B6E424" w14:textId="77777777" w:rsidR="00096E92" w:rsidRPr="00E47460" w:rsidRDefault="00096E92" w:rsidP="003865F1">
      <w:pPr>
        <w:pBdr>
          <w:top w:val="nil"/>
          <w:left w:val="nil"/>
          <w:bottom w:val="nil"/>
          <w:right w:val="nil"/>
          <w:between w:val="nil"/>
        </w:pBdr>
        <w:spacing w:before="8" w:line="276" w:lineRule="auto"/>
        <w:rPr>
          <w:rFonts w:ascii="Century Gothic" w:hAnsi="Century Gothic"/>
          <w:color w:val="000000"/>
          <w:sz w:val="24"/>
          <w:szCs w:val="24"/>
        </w:rPr>
      </w:pPr>
    </w:p>
    <w:p w14:paraId="6D5B1C6E" w14:textId="77777777" w:rsidR="00096E92" w:rsidRPr="00E47460" w:rsidRDefault="00BE582B" w:rsidP="003865F1">
      <w:pPr>
        <w:spacing w:line="276" w:lineRule="auto"/>
        <w:ind w:left="857" w:right="951"/>
        <w:jc w:val="both"/>
        <w:rPr>
          <w:rFonts w:ascii="Century Gothic" w:hAnsi="Century Gothic"/>
          <w:color w:val="000000"/>
          <w:sz w:val="24"/>
          <w:szCs w:val="24"/>
        </w:rPr>
      </w:pPr>
      <w:r w:rsidRPr="00E47460">
        <w:rPr>
          <w:rFonts w:ascii="Century Gothic" w:hAnsi="Century Gothic"/>
          <w:sz w:val="24"/>
          <w:szCs w:val="24"/>
        </w:rPr>
        <w:t>“</w:t>
      </w:r>
      <w:r w:rsidRPr="00E47460">
        <w:rPr>
          <w:rFonts w:ascii="Century Gothic" w:eastAsia="Tahoma" w:hAnsi="Century Gothic" w:cs="Tahoma"/>
          <w:b/>
          <w:sz w:val="24"/>
          <w:szCs w:val="24"/>
        </w:rPr>
        <w:t>Artículo 82.- Aplicación de la ley</w:t>
      </w:r>
      <w:r w:rsidRPr="00E47460">
        <w:rPr>
          <w:rFonts w:ascii="Century Gothic" w:hAnsi="Century Gothic"/>
          <w:sz w:val="24"/>
          <w:szCs w:val="24"/>
        </w:rPr>
        <w:t>. La aplicación de esta ley queda</w:t>
      </w:r>
      <w:r w:rsidR="002752FD" w:rsidRPr="00E47460">
        <w:rPr>
          <w:rFonts w:ascii="Century Gothic" w:hAnsi="Century Gothic"/>
          <w:color w:val="000000"/>
          <w:sz w:val="24"/>
          <w:szCs w:val="24"/>
        </w:rPr>
        <w:t xml:space="preserve"> </w:t>
      </w:r>
      <w:r w:rsidRPr="00E47460">
        <w:rPr>
          <w:rFonts w:ascii="Century Gothic" w:hAnsi="Century Gothic"/>
          <w:color w:val="000000"/>
          <w:sz w:val="24"/>
          <w:szCs w:val="24"/>
        </w:rPr>
        <w:t>a cargo de la Junta Central Electoral”.</w:t>
      </w:r>
    </w:p>
    <w:p w14:paraId="5B5EA2C4" w14:textId="77777777" w:rsidR="00096E92" w:rsidRPr="00E47460" w:rsidRDefault="00096E92" w:rsidP="003865F1">
      <w:pPr>
        <w:pBdr>
          <w:top w:val="nil"/>
          <w:left w:val="nil"/>
          <w:bottom w:val="nil"/>
          <w:right w:val="nil"/>
          <w:between w:val="nil"/>
        </w:pBdr>
        <w:spacing w:line="276" w:lineRule="auto"/>
        <w:rPr>
          <w:rFonts w:ascii="Century Gothic" w:hAnsi="Century Gothic"/>
          <w:color w:val="000000"/>
          <w:sz w:val="24"/>
          <w:szCs w:val="24"/>
        </w:rPr>
      </w:pPr>
    </w:p>
    <w:p w14:paraId="58972E51"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CONSIDERANDO</w:t>
      </w:r>
      <w:r w:rsidRPr="00E47460">
        <w:rPr>
          <w:rFonts w:ascii="Century Gothic" w:hAnsi="Century Gothic"/>
          <w:color w:val="000000"/>
          <w:sz w:val="24"/>
          <w:szCs w:val="24"/>
        </w:rPr>
        <w:t>: Que la Ley No. 20-23, Orgánica del Régimen Electoral</w:t>
      </w:r>
      <w:r w:rsidR="001B782C" w:rsidRPr="00E47460">
        <w:rPr>
          <w:rFonts w:ascii="Century Gothic" w:hAnsi="Century Gothic"/>
          <w:color w:val="000000"/>
          <w:sz w:val="24"/>
          <w:szCs w:val="24"/>
        </w:rPr>
        <w:t>,</w:t>
      </w:r>
      <w:r w:rsidRPr="00E47460">
        <w:rPr>
          <w:rFonts w:ascii="Century Gothic" w:hAnsi="Century Gothic"/>
          <w:color w:val="000000"/>
          <w:sz w:val="24"/>
          <w:szCs w:val="24"/>
        </w:rPr>
        <w:t xml:space="preserve"> establece en su artículo 20 numeral 14, como una de las atribuciones del Pleno de la Junta Central Electoral, la siguiente:</w:t>
      </w:r>
    </w:p>
    <w:p w14:paraId="3AD8AF98" w14:textId="77777777" w:rsidR="00096E92" w:rsidRPr="00E47460" w:rsidRDefault="00096E92" w:rsidP="003865F1">
      <w:pPr>
        <w:pBdr>
          <w:top w:val="nil"/>
          <w:left w:val="nil"/>
          <w:bottom w:val="nil"/>
          <w:right w:val="nil"/>
          <w:between w:val="nil"/>
        </w:pBdr>
        <w:spacing w:line="276" w:lineRule="auto"/>
        <w:rPr>
          <w:rFonts w:ascii="Century Gothic" w:hAnsi="Century Gothic"/>
          <w:color w:val="000000"/>
          <w:sz w:val="24"/>
          <w:szCs w:val="24"/>
        </w:rPr>
      </w:pPr>
    </w:p>
    <w:p w14:paraId="25D52FB7" w14:textId="77777777" w:rsidR="00096E92" w:rsidRPr="00E47460" w:rsidRDefault="00BE582B" w:rsidP="003865F1">
      <w:pPr>
        <w:pBdr>
          <w:top w:val="nil"/>
          <w:left w:val="nil"/>
          <w:bottom w:val="nil"/>
          <w:right w:val="nil"/>
          <w:between w:val="nil"/>
        </w:pBdr>
        <w:spacing w:before="1" w:line="276" w:lineRule="auto"/>
        <w:ind w:left="857" w:right="994"/>
        <w:jc w:val="both"/>
        <w:rPr>
          <w:rFonts w:ascii="Century Gothic" w:hAnsi="Century Gothic"/>
          <w:color w:val="000000"/>
          <w:sz w:val="24"/>
          <w:szCs w:val="24"/>
        </w:rPr>
      </w:pPr>
      <w:r w:rsidRPr="00E47460">
        <w:rPr>
          <w:rFonts w:ascii="Century Gothic" w:hAnsi="Century Gothic"/>
          <w:color w:val="000000"/>
          <w:sz w:val="24"/>
          <w:szCs w:val="24"/>
        </w:rPr>
        <w:t>“14) Dictar las disposiciones que considere pertinentes para asegurar la correcta aplicación de las disposiciones de la Constitución y las leyes en lo relativo a las elecciones y el regular desenvolvimiento de éstas”.</w:t>
      </w:r>
    </w:p>
    <w:p w14:paraId="7E943C9E" w14:textId="77777777" w:rsidR="00096E92" w:rsidRPr="00E47460" w:rsidRDefault="00096E92">
      <w:pPr>
        <w:pBdr>
          <w:top w:val="nil"/>
          <w:left w:val="nil"/>
          <w:bottom w:val="nil"/>
          <w:right w:val="nil"/>
          <w:between w:val="nil"/>
        </w:pBdr>
        <w:spacing w:before="11"/>
        <w:rPr>
          <w:rFonts w:ascii="Century Gothic" w:hAnsi="Century Gothic"/>
          <w:color w:val="000000"/>
          <w:sz w:val="24"/>
          <w:szCs w:val="24"/>
        </w:rPr>
      </w:pPr>
    </w:p>
    <w:p w14:paraId="17E681FF"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CONSIDERANDO</w:t>
      </w:r>
      <w:r w:rsidRPr="00E47460">
        <w:rPr>
          <w:rFonts w:ascii="Century Gothic" w:hAnsi="Century Gothic"/>
          <w:color w:val="000000"/>
          <w:sz w:val="24"/>
          <w:szCs w:val="24"/>
        </w:rPr>
        <w:t xml:space="preserve">: Que en lo concerniente a las reservas de candidaturas que pueden ser realizadas por los partidos, agrupaciones y movimientos políticos el Tribunal Superior Electoral ha establecido un criterio jurisprudencial a través de su sentencia marcada con el </w:t>
      </w:r>
      <w:r w:rsidR="00240FD9" w:rsidRPr="00E47460">
        <w:rPr>
          <w:rFonts w:ascii="Century Gothic" w:hAnsi="Century Gothic"/>
          <w:color w:val="000000"/>
          <w:sz w:val="24"/>
          <w:szCs w:val="24"/>
        </w:rPr>
        <w:t>No.</w:t>
      </w:r>
      <w:r w:rsidRPr="00E47460">
        <w:rPr>
          <w:rFonts w:ascii="Century Gothic" w:hAnsi="Century Gothic"/>
          <w:color w:val="000000"/>
          <w:sz w:val="24"/>
          <w:szCs w:val="24"/>
        </w:rPr>
        <w:t xml:space="preserve"> TSE-091-2019 del </w:t>
      </w:r>
      <w:r w:rsidR="00BB40A9">
        <w:rPr>
          <w:rFonts w:ascii="Century Gothic" w:hAnsi="Century Gothic"/>
          <w:color w:val="000000"/>
          <w:sz w:val="24"/>
          <w:szCs w:val="24"/>
        </w:rPr>
        <w:t>doce (</w:t>
      </w:r>
      <w:r w:rsidRPr="00E47460">
        <w:rPr>
          <w:rFonts w:ascii="Century Gothic" w:hAnsi="Century Gothic"/>
          <w:color w:val="000000"/>
          <w:sz w:val="24"/>
          <w:szCs w:val="24"/>
        </w:rPr>
        <w:t>12</w:t>
      </w:r>
      <w:r w:rsidR="00BB40A9">
        <w:rPr>
          <w:rFonts w:ascii="Century Gothic" w:hAnsi="Century Gothic"/>
          <w:color w:val="000000"/>
          <w:sz w:val="24"/>
          <w:szCs w:val="24"/>
        </w:rPr>
        <w:t>)</w:t>
      </w:r>
      <w:r w:rsidRPr="00E47460">
        <w:rPr>
          <w:rFonts w:ascii="Century Gothic" w:hAnsi="Century Gothic"/>
          <w:color w:val="000000"/>
          <w:sz w:val="24"/>
          <w:szCs w:val="24"/>
        </w:rPr>
        <w:t xml:space="preserve"> de noviembre de 2019, precisando lo siguiente:</w:t>
      </w:r>
    </w:p>
    <w:p w14:paraId="0115CC36" w14:textId="77777777" w:rsidR="00096E92" w:rsidRPr="00E47460" w:rsidRDefault="00096E92" w:rsidP="003865F1">
      <w:pPr>
        <w:pBdr>
          <w:top w:val="nil"/>
          <w:left w:val="nil"/>
          <w:bottom w:val="nil"/>
          <w:right w:val="nil"/>
          <w:between w:val="nil"/>
        </w:pBdr>
        <w:spacing w:line="276" w:lineRule="auto"/>
        <w:rPr>
          <w:rFonts w:ascii="Century Gothic" w:hAnsi="Century Gothic"/>
          <w:color w:val="000000"/>
          <w:sz w:val="24"/>
          <w:szCs w:val="24"/>
        </w:rPr>
      </w:pPr>
    </w:p>
    <w:p w14:paraId="3C47EC6A" w14:textId="77777777" w:rsidR="00B43BD6" w:rsidRPr="00E47460" w:rsidRDefault="00BE582B" w:rsidP="003865F1">
      <w:pPr>
        <w:pBdr>
          <w:top w:val="nil"/>
          <w:left w:val="nil"/>
          <w:bottom w:val="nil"/>
          <w:right w:val="nil"/>
          <w:between w:val="nil"/>
        </w:pBdr>
        <w:spacing w:line="276" w:lineRule="auto"/>
        <w:ind w:left="857" w:right="991"/>
        <w:jc w:val="both"/>
        <w:rPr>
          <w:rFonts w:ascii="Century Gothic" w:hAnsi="Century Gothic"/>
          <w:color w:val="000000"/>
          <w:sz w:val="24"/>
          <w:szCs w:val="24"/>
        </w:rPr>
      </w:pPr>
      <w:r w:rsidRPr="00E47460">
        <w:rPr>
          <w:rFonts w:ascii="Century Gothic" w:hAnsi="Century Gothic"/>
          <w:color w:val="000000"/>
          <w:sz w:val="24"/>
          <w:szCs w:val="24"/>
        </w:rPr>
        <w:t>“8.4. No obstante el derecho que tienen los partidos, agrupaciones y movimientos políticos de reservarse candidaturas, existe en nuestro ordenamiento constitucional una obligación a cargo del Estado de crear las condiciones necesarias a través de sus instituciones para que el derecho de igualdad de oportunidades entre hombres y mujeres en la vida política del país sea verdaderamente efectivo…”</w:t>
      </w:r>
      <w:r w:rsidR="00534346" w:rsidRPr="00E47460">
        <w:rPr>
          <w:rFonts w:ascii="Century Gothic" w:hAnsi="Century Gothic"/>
          <w:color w:val="000000"/>
          <w:sz w:val="24"/>
          <w:szCs w:val="24"/>
        </w:rPr>
        <w:t>.</w:t>
      </w:r>
    </w:p>
    <w:p w14:paraId="2E456C36" w14:textId="77777777" w:rsidR="00096E92" w:rsidRPr="00E47460" w:rsidRDefault="00096E92" w:rsidP="003865F1">
      <w:pPr>
        <w:pBdr>
          <w:top w:val="nil"/>
          <w:left w:val="nil"/>
          <w:bottom w:val="nil"/>
          <w:right w:val="nil"/>
          <w:between w:val="nil"/>
        </w:pBdr>
        <w:spacing w:line="276" w:lineRule="auto"/>
        <w:ind w:left="857" w:right="991"/>
        <w:jc w:val="both"/>
        <w:rPr>
          <w:rFonts w:ascii="Century Gothic" w:hAnsi="Century Gothic"/>
          <w:color w:val="000000"/>
          <w:sz w:val="24"/>
          <w:szCs w:val="24"/>
        </w:rPr>
      </w:pPr>
    </w:p>
    <w:p w14:paraId="3855206B" w14:textId="77777777" w:rsidR="00096E92" w:rsidRPr="00E47460" w:rsidRDefault="00BE582B" w:rsidP="003865F1">
      <w:pPr>
        <w:pBdr>
          <w:top w:val="nil"/>
          <w:left w:val="nil"/>
          <w:bottom w:val="nil"/>
          <w:right w:val="nil"/>
          <w:between w:val="nil"/>
        </w:pBdr>
        <w:spacing w:line="276" w:lineRule="auto"/>
        <w:ind w:left="857" w:right="993"/>
        <w:jc w:val="both"/>
        <w:rPr>
          <w:rFonts w:ascii="Century Gothic" w:hAnsi="Century Gothic"/>
          <w:color w:val="000000"/>
          <w:sz w:val="24"/>
          <w:szCs w:val="24"/>
        </w:rPr>
      </w:pPr>
      <w:r w:rsidRPr="00E47460">
        <w:rPr>
          <w:rFonts w:ascii="Century Gothic" w:hAnsi="Century Gothic"/>
          <w:color w:val="000000"/>
          <w:sz w:val="24"/>
          <w:szCs w:val="24"/>
        </w:rPr>
        <w:t>“En efecto, en aquellas demarcaciones en que los partidos políticos se hayan reservado posiciones y que el resultado de las primarias o procesos de selección a lo interno haya arrojado imposibilidad en cubrir la proporción de género para la presentación de las listas de candidaturas, entonces las reservas tendrán que ser utilizadas para cumplir con dicha proporción de género”.</w:t>
      </w:r>
    </w:p>
    <w:p w14:paraId="34C989AE" w14:textId="77777777" w:rsidR="00096E92" w:rsidRPr="00E47460" w:rsidRDefault="00096E92" w:rsidP="003865F1">
      <w:pPr>
        <w:pBdr>
          <w:top w:val="nil"/>
          <w:left w:val="nil"/>
          <w:bottom w:val="nil"/>
          <w:right w:val="nil"/>
          <w:between w:val="nil"/>
        </w:pBdr>
        <w:spacing w:before="10" w:line="276" w:lineRule="auto"/>
        <w:rPr>
          <w:rFonts w:ascii="Century Gothic" w:hAnsi="Century Gothic"/>
          <w:color w:val="000000"/>
          <w:sz w:val="24"/>
          <w:szCs w:val="24"/>
        </w:rPr>
      </w:pPr>
    </w:p>
    <w:p w14:paraId="32B3A5C3"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CONSIDERANDO</w:t>
      </w:r>
      <w:r w:rsidRPr="00E47460">
        <w:rPr>
          <w:rFonts w:ascii="Century Gothic" w:hAnsi="Century Gothic"/>
          <w:color w:val="000000"/>
          <w:sz w:val="24"/>
          <w:szCs w:val="24"/>
        </w:rPr>
        <w:t xml:space="preserve">: Que, en ese mismo sentido, el Tribunal Superior Electoral, refiriéndose a la aplicación del porcentaje de las reservas que establece el artículo 58 de la Ley No. 33-18 de Partidos, Agrupaciones y Movimientos </w:t>
      </w:r>
      <w:r w:rsidR="00534346" w:rsidRPr="00E47460">
        <w:rPr>
          <w:rFonts w:ascii="Century Gothic" w:hAnsi="Century Gothic"/>
          <w:color w:val="000000"/>
          <w:sz w:val="24"/>
          <w:szCs w:val="24"/>
        </w:rPr>
        <w:t>Políticos</w:t>
      </w:r>
      <w:r w:rsidRPr="00E47460">
        <w:rPr>
          <w:rFonts w:ascii="Century Gothic" w:hAnsi="Century Gothic"/>
          <w:color w:val="000000"/>
          <w:sz w:val="24"/>
          <w:szCs w:val="24"/>
        </w:rPr>
        <w:t xml:space="preserve">, en su sentencia TSE-027-2019 del </w:t>
      </w:r>
      <w:r w:rsidR="00C97658">
        <w:rPr>
          <w:rFonts w:ascii="Century Gothic" w:hAnsi="Century Gothic"/>
          <w:color w:val="000000"/>
          <w:sz w:val="24"/>
          <w:szCs w:val="24"/>
        </w:rPr>
        <w:t>siete (</w:t>
      </w:r>
      <w:r w:rsidRPr="00E47460">
        <w:rPr>
          <w:rFonts w:ascii="Century Gothic" w:hAnsi="Century Gothic"/>
          <w:color w:val="000000"/>
          <w:sz w:val="24"/>
          <w:szCs w:val="24"/>
        </w:rPr>
        <w:t>7</w:t>
      </w:r>
      <w:r w:rsidR="00C97658">
        <w:rPr>
          <w:rFonts w:ascii="Century Gothic" w:hAnsi="Century Gothic"/>
          <w:color w:val="000000"/>
          <w:sz w:val="24"/>
          <w:szCs w:val="24"/>
        </w:rPr>
        <w:t>)</w:t>
      </w:r>
      <w:r w:rsidRPr="00E47460">
        <w:rPr>
          <w:rFonts w:ascii="Century Gothic" w:hAnsi="Century Gothic"/>
          <w:color w:val="000000"/>
          <w:sz w:val="24"/>
          <w:szCs w:val="24"/>
        </w:rPr>
        <w:t xml:space="preserve"> de agosto de 2019, juzgó lo siguiente:</w:t>
      </w:r>
    </w:p>
    <w:p w14:paraId="30EB039B" w14:textId="77777777" w:rsidR="00096E92" w:rsidRPr="00E47460" w:rsidRDefault="00096E92" w:rsidP="003865F1">
      <w:pPr>
        <w:pBdr>
          <w:top w:val="nil"/>
          <w:left w:val="nil"/>
          <w:bottom w:val="nil"/>
          <w:right w:val="nil"/>
          <w:between w:val="nil"/>
        </w:pBdr>
        <w:spacing w:before="11" w:line="276" w:lineRule="auto"/>
        <w:rPr>
          <w:rFonts w:ascii="Century Gothic" w:hAnsi="Century Gothic"/>
          <w:color w:val="000000"/>
          <w:sz w:val="24"/>
          <w:szCs w:val="24"/>
        </w:rPr>
      </w:pPr>
    </w:p>
    <w:p w14:paraId="42F61C03" w14:textId="77777777" w:rsidR="00096E92" w:rsidRPr="00E47460" w:rsidRDefault="00BE582B" w:rsidP="003865F1">
      <w:pPr>
        <w:pBdr>
          <w:top w:val="nil"/>
          <w:left w:val="nil"/>
          <w:bottom w:val="nil"/>
          <w:right w:val="nil"/>
          <w:between w:val="nil"/>
        </w:pBdr>
        <w:spacing w:line="276" w:lineRule="auto"/>
        <w:ind w:left="857" w:right="991"/>
        <w:jc w:val="both"/>
        <w:rPr>
          <w:rFonts w:ascii="Century Gothic" w:hAnsi="Century Gothic"/>
          <w:color w:val="000000"/>
          <w:sz w:val="24"/>
          <w:szCs w:val="24"/>
        </w:rPr>
      </w:pPr>
      <w:r w:rsidRPr="00E47460">
        <w:rPr>
          <w:rFonts w:ascii="Century Gothic" w:hAnsi="Century Gothic"/>
          <w:color w:val="000000"/>
          <w:sz w:val="24"/>
          <w:szCs w:val="24"/>
        </w:rPr>
        <w:t>“9.6.30. En definitiva, resulta ostensible que el artículo 58 de la Ley núm. 33-18 no dispone una reserva del veinte por ciento (20%) del total de las nominaciones, sino que esta reserva está segregada y se corresponde, como afirma el demandante, al veinte por ciento (20 %) del total de las candidaturas por los puestos de elección señalados expresamente en dicho artículo”. En efecto, la norma en cuestión prevé que las reservas de candidaturas a que tienen derecho los partidos políticos están distribuidas de la forma siguiente:</w:t>
      </w:r>
    </w:p>
    <w:p w14:paraId="769D7C99" w14:textId="77777777" w:rsidR="00096E92" w:rsidRPr="00E47460" w:rsidRDefault="00096E92">
      <w:pPr>
        <w:pBdr>
          <w:top w:val="nil"/>
          <w:left w:val="nil"/>
          <w:bottom w:val="nil"/>
          <w:right w:val="nil"/>
          <w:between w:val="nil"/>
        </w:pBdr>
        <w:rPr>
          <w:rFonts w:ascii="Century Gothic" w:hAnsi="Century Gothic"/>
          <w:color w:val="000000"/>
          <w:sz w:val="24"/>
          <w:szCs w:val="24"/>
        </w:rPr>
      </w:pPr>
    </w:p>
    <w:tbl>
      <w:tblPr>
        <w:tblStyle w:val="a"/>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9"/>
        <w:gridCol w:w="3118"/>
        <w:gridCol w:w="3040"/>
      </w:tblGrid>
      <w:tr w:rsidR="00096E92" w:rsidRPr="00691783" w14:paraId="6A5B6DF9" w14:textId="77777777" w:rsidTr="00E47460">
        <w:trPr>
          <w:trHeight w:val="491"/>
        </w:trPr>
        <w:tc>
          <w:tcPr>
            <w:tcW w:w="3339" w:type="dxa"/>
          </w:tcPr>
          <w:p w14:paraId="12C1EDCD" w14:textId="77777777" w:rsidR="00096E92" w:rsidRPr="00E47460" w:rsidRDefault="00BE582B">
            <w:pPr>
              <w:pBdr>
                <w:top w:val="nil"/>
                <w:left w:val="nil"/>
                <w:bottom w:val="nil"/>
                <w:right w:val="nil"/>
                <w:between w:val="nil"/>
              </w:pBdr>
              <w:ind w:left="258" w:right="253"/>
              <w:jc w:val="center"/>
              <w:rPr>
                <w:rFonts w:ascii="Century Gothic" w:hAnsi="Century Gothic"/>
                <w:color w:val="000000"/>
                <w:sz w:val="24"/>
                <w:szCs w:val="24"/>
              </w:rPr>
            </w:pPr>
            <w:r w:rsidRPr="00E47460">
              <w:rPr>
                <w:rFonts w:ascii="Century Gothic" w:hAnsi="Century Gothic"/>
                <w:color w:val="000000"/>
                <w:sz w:val="24"/>
                <w:szCs w:val="24"/>
              </w:rPr>
              <w:t>Posición</w:t>
            </w:r>
          </w:p>
        </w:tc>
        <w:tc>
          <w:tcPr>
            <w:tcW w:w="3118" w:type="dxa"/>
          </w:tcPr>
          <w:p w14:paraId="34CC7A76" w14:textId="77777777" w:rsidR="00096E92" w:rsidRPr="00E47460" w:rsidRDefault="00BE582B">
            <w:pPr>
              <w:pBdr>
                <w:top w:val="nil"/>
                <w:left w:val="nil"/>
                <w:bottom w:val="nil"/>
                <w:right w:val="nil"/>
                <w:between w:val="nil"/>
              </w:pBdr>
              <w:ind w:left="517" w:right="513"/>
              <w:jc w:val="center"/>
              <w:rPr>
                <w:rFonts w:ascii="Century Gothic" w:hAnsi="Century Gothic"/>
                <w:color w:val="000000"/>
                <w:sz w:val="24"/>
                <w:szCs w:val="24"/>
              </w:rPr>
            </w:pPr>
            <w:r w:rsidRPr="00E47460">
              <w:rPr>
                <w:rFonts w:ascii="Century Gothic" w:hAnsi="Century Gothic"/>
                <w:color w:val="000000"/>
                <w:sz w:val="24"/>
                <w:szCs w:val="24"/>
              </w:rPr>
              <w:t>Cantidad de puestos</w:t>
            </w:r>
          </w:p>
        </w:tc>
        <w:tc>
          <w:tcPr>
            <w:tcW w:w="3040" w:type="dxa"/>
          </w:tcPr>
          <w:p w14:paraId="2382C20F" w14:textId="77777777" w:rsidR="00096E92" w:rsidRPr="00E47460" w:rsidRDefault="00BE582B">
            <w:pPr>
              <w:pBdr>
                <w:top w:val="nil"/>
                <w:left w:val="nil"/>
                <w:bottom w:val="nil"/>
                <w:right w:val="nil"/>
                <w:between w:val="nil"/>
              </w:pBdr>
              <w:spacing w:line="248" w:lineRule="auto"/>
              <w:ind w:left="333" w:right="226" w:hanging="88"/>
              <w:rPr>
                <w:rFonts w:ascii="Century Gothic" w:hAnsi="Century Gothic"/>
                <w:color w:val="000000"/>
                <w:sz w:val="24"/>
                <w:szCs w:val="24"/>
              </w:rPr>
            </w:pPr>
            <w:r w:rsidRPr="00E47460">
              <w:rPr>
                <w:rFonts w:ascii="Century Gothic" w:hAnsi="Century Gothic"/>
                <w:color w:val="000000"/>
                <w:sz w:val="24"/>
                <w:szCs w:val="24"/>
              </w:rPr>
              <w:t>Veinte por ciento (20%) permitido</w:t>
            </w:r>
          </w:p>
        </w:tc>
      </w:tr>
      <w:tr w:rsidR="00096E92" w:rsidRPr="00691783" w14:paraId="66B75E5A" w14:textId="77777777" w:rsidTr="00E47460">
        <w:trPr>
          <w:trHeight w:val="240"/>
        </w:trPr>
        <w:tc>
          <w:tcPr>
            <w:tcW w:w="3339" w:type="dxa"/>
          </w:tcPr>
          <w:p w14:paraId="5096CFF5" w14:textId="77777777" w:rsidR="00096E92" w:rsidRPr="00E47460" w:rsidRDefault="00BE582B">
            <w:pPr>
              <w:pBdr>
                <w:top w:val="nil"/>
                <w:left w:val="nil"/>
                <w:bottom w:val="nil"/>
                <w:right w:val="nil"/>
                <w:between w:val="nil"/>
              </w:pBdr>
              <w:spacing w:line="220" w:lineRule="auto"/>
              <w:ind w:left="258" w:right="251"/>
              <w:jc w:val="center"/>
              <w:rPr>
                <w:rFonts w:ascii="Century Gothic" w:hAnsi="Century Gothic"/>
                <w:color w:val="000000"/>
                <w:sz w:val="24"/>
                <w:szCs w:val="24"/>
              </w:rPr>
            </w:pPr>
            <w:r w:rsidRPr="00E47460">
              <w:rPr>
                <w:rFonts w:ascii="Century Gothic" w:hAnsi="Century Gothic"/>
                <w:color w:val="000000"/>
                <w:sz w:val="24"/>
                <w:szCs w:val="24"/>
              </w:rPr>
              <w:t>Senadores(as)</w:t>
            </w:r>
          </w:p>
        </w:tc>
        <w:tc>
          <w:tcPr>
            <w:tcW w:w="3118" w:type="dxa"/>
          </w:tcPr>
          <w:p w14:paraId="44B4D66D" w14:textId="77777777" w:rsidR="00096E92" w:rsidRPr="00E47460" w:rsidRDefault="00BE582B">
            <w:pPr>
              <w:pBdr>
                <w:top w:val="nil"/>
                <w:left w:val="nil"/>
                <w:bottom w:val="nil"/>
                <w:right w:val="nil"/>
                <w:between w:val="nil"/>
              </w:pBdr>
              <w:spacing w:line="220"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32</w:t>
            </w:r>
          </w:p>
        </w:tc>
        <w:tc>
          <w:tcPr>
            <w:tcW w:w="3040" w:type="dxa"/>
          </w:tcPr>
          <w:p w14:paraId="6892E711" w14:textId="77777777" w:rsidR="00096E92" w:rsidRPr="00E47460" w:rsidRDefault="00BE582B">
            <w:pPr>
              <w:pBdr>
                <w:top w:val="nil"/>
                <w:left w:val="nil"/>
                <w:bottom w:val="nil"/>
                <w:right w:val="nil"/>
                <w:between w:val="nil"/>
              </w:pBdr>
              <w:spacing w:line="220" w:lineRule="auto"/>
              <w:ind w:left="9"/>
              <w:jc w:val="center"/>
              <w:rPr>
                <w:rFonts w:ascii="Century Gothic" w:hAnsi="Century Gothic"/>
                <w:color w:val="000000"/>
                <w:sz w:val="24"/>
                <w:szCs w:val="24"/>
              </w:rPr>
            </w:pPr>
            <w:r w:rsidRPr="00E47460">
              <w:rPr>
                <w:rFonts w:ascii="Century Gothic" w:hAnsi="Century Gothic"/>
                <w:color w:val="000000"/>
                <w:sz w:val="24"/>
                <w:szCs w:val="24"/>
              </w:rPr>
              <w:t>6</w:t>
            </w:r>
          </w:p>
        </w:tc>
      </w:tr>
      <w:tr w:rsidR="00096E92" w:rsidRPr="00691783" w14:paraId="5BEBCEA5" w14:textId="77777777" w:rsidTr="00E47460">
        <w:trPr>
          <w:trHeight w:val="244"/>
        </w:trPr>
        <w:tc>
          <w:tcPr>
            <w:tcW w:w="3339" w:type="dxa"/>
          </w:tcPr>
          <w:p w14:paraId="23AB811B" w14:textId="77777777" w:rsidR="00096E92" w:rsidRPr="00E47460" w:rsidRDefault="00BE582B">
            <w:pPr>
              <w:pBdr>
                <w:top w:val="nil"/>
                <w:left w:val="nil"/>
                <w:bottom w:val="nil"/>
                <w:right w:val="nil"/>
                <w:between w:val="nil"/>
              </w:pBdr>
              <w:spacing w:line="224" w:lineRule="auto"/>
              <w:ind w:left="256" w:right="253"/>
              <w:jc w:val="center"/>
              <w:rPr>
                <w:rFonts w:ascii="Century Gothic" w:hAnsi="Century Gothic"/>
                <w:color w:val="000000"/>
                <w:sz w:val="24"/>
                <w:szCs w:val="24"/>
              </w:rPr>
            </w:pPr>
            <w:r w:rsidRPr="00E47460">
              <w:rPr>
                <w:rFonts w:ascii="Century Gothic" w:hAnsi="Century Gothic"/>
                <w:color w:val="000000"/>
                <w:sz w:val="24"/>
                <w:szCs w:val="24"/>
              </w:rPr>
              <w:t>Diputados(as)</w:t>
            </w:r>
          </w:p>
        </w:tc>
        <w:tc>
          <w:tcPr>
            <w:tcW w:w="3118" w:type="dxa"/>
          </w:tcPr>
          <w:p w14:paraId="0584BD8E" w14:textId="77777777" w:rsidR="00096E92" w:rsidRPr="00E47460" w:rsidRDefault="00BE582B">
            <w:pPr>
              <w:pBdr>
                <w:top w:val="nil"/>
                <w:left w:val="nil"/>
                <w:bottom w:val="nil"/>
                <w:right w:val="nil"/>
                <w:between w:val="nil"/>
              </w:pBdr>
              <w:spacing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190</w:t>
            </w:r>
          </w:p>
        </w:tc>
        <w:tc>
          <w:tcPr>
            <w:tcW w:w="3040" w:type="dxa"/>
          </w:tcPr>
          <w:p w14:paraId="5068B4C5" w14:textId="77777777" w:rsidR="00096E92" w:rsidRPr="00E47460" w:rsidRDefault="00BE582B">
            <w:pPr>
              <w:pBdr>
                <w:top w:val="nil"/>
                <w:left w:val="nil"/>
                <w:bottom w:val="nil"/>
                <w:right w:val="nil"/>
                <w:between w:val="nil"/>
              </w:pBdr>
              <w:spacing w:line="224" w:lineRule="auto"/>
              <w:ind w:left="885" w:right="876"/>
              <w:jc w:val="center"/>
              <w:rPr>
                <w:rFonts w:ascii="Century Gothic" w:hAnsi="Century Gothic"/>
                <w:color w:val="000000"/>
                <w:sz w:val="24"/>
                <w:szCs w:val="24"/>
              </w:rPr>
            </w:pPr>
            <w:r w:rsidRPr="00E47460">
              <w:rPr>
                <w:rFonts w:ascii="Century Gothic" w:hAnsi="Century Gothic"/>
                <w:color w:val="000000"/>
                <w:sz w:val="24"/>
                <w:szCs w:val="24"/>
              </w:rPr>
              <w:t>38</w:t>
            </w:r>
          </w:p>
        </w:tc>
      </w:tr>
      <w:tr w:rsidR="00096E92" w:rsidRPr="00691783" w14:paraId="4AABEE54" w14:textId="77777777" w:rsidTr="00E47460">
        <w:trPr>
          <w:trHeight w:val="246"/>
        </w:trPr>
        <w:tc>
          <w:tcPr>
            <w:tcW w:w="3339" w:type="dxa"/>
          </w:tcPr>
          <w:p w14:paraId="00636B0F" w14:textId="77777777" w:rsidR="00096E92" w:rsidRPr="00E47460" w:rsidRDefault="00BE582B">
            <w:pPr>
              <w:pBdr>
                <w:top w:val="nil"/>
                <w:left w:val="nil"/>
                <w:bottom w:val="nil"/>
                <w:right w:val="nil"/>
                <w:between w:val="nil"/>
              </w:pBdr>
              <w:spacing w:before="2" w:line="224" w:lineRule="auto"/>
              <w:ind w:left="258" w:right="253"/>
              <w:jc w:val="center"/>
              <w:rPr>
                <w:rFonts w:ascii="Century Gothic" w:hAnsi="Century Gothic"/>
                <w:color w:val="000000"/>
                <w:sz w:val="24"/>
                <w:szCs w:val="24"/>
              </w:rPr>
            </w:pPr>
            <w:r w:rsidRPr="00E47460">
              <w:rPr>
                <w:rFonts w:ascii="Century Gothic" w:hAnsi="Century Gothic"/>
                <w:color w:val="000000"/>
                <w:sz w:val="24"/>
                <w:szCs w:val="24"/>
              </w:rPr>
              <w:t>Alcaldes/Alcaldesas</w:t>
            </w:r>
          </w:p>
        </w:tc>
        <w:tc>
          <w:tcPr>
            <w:tcW w:w="3118" w:type="dxa"/>
          </w:tcPr>
          <w:p w14:paraId="010ECD22" w14:textId="77777777" w:rsidR="00096E92" w:rsidRPr="00E47460" w:rsidRDefault="00BE582B">
            <w:pPr>
              <w:pBdr>
                <w:top w:val="nil"/>
                <w:left w:val="nil"/>
                <w:bottom w:val="nil"/>
                <w:right w:val="nil"/>
                <w:between w:val="nil"/>
              </w:pBdr>
              <w:spacing w:before="2"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158</w:t>
            </w:r>
          </w:p>
        </w:tc>
        <w:tc>
          <w:tcPr>
            <w:tcW w:w="3040" w:type="dxa"/>
          </w:tcPr>
          <w:p w14:paraId="2FE04B0D" w14:textId="77777777" w:rsidR="00096E92" w:rsidRPr="00E47460" w:rsidRDefault="00BE582B">
            <w:pPr>
              <w:pBdr>
                <w:top w:val="nil"/>
                <w:left w:val="nil"/>
                <w:bottom w:val="nil"/>
                <w:right w:val="nil"/>
                <w:between w:val="nil"/>
              </w:pBdr>
              <w:spacing w:before="2" w:line="224" w:lineRule="auto"/>
              <w:ind w:left="885" w:right="876"/>
              <w:jc w:val="center"/>
              <w:rPr>
                <w:rFonts w:ascii="Century Gothic" w:hAnsi="Century Gothic"/>
                <w:color w:val="000000"/>
                <w:sz w:val="24"/>
                <w:szCs w:val="24"/>
              </w:rPr>
            </w:pPr>
            <w:r w:rsidRPr="00E47460">
              <w:rPr>
                <w:rFonts w:ascii="Century Gothic" w:hAnsi="Century Gothic"/>
                <w:color w:val="000000"/>
                <w:sz w:val="24"/>
                <w:szCs w:val="24"/>
              </w:rPr>
              <w:t>32</w:t>
            </w:r>
          </w:p>
        </w:tc>
      </w:tr>
      <w:tr w:rsidR="00096E92" w:rsidRPr="00691783" w14:paraId="3137BF15" w14:textId="77777777" w:rsidTr="00E47460">
        <w:trPr>
          <w:trHeight w:val="244"/>
        </w:trPr>
        <w:tc>
          <w:tcPr>
            <w:tcW w:w="3339" w:type="dxa"/>
          </w:tcPr>
          <w:p w14:paraId="40E2D8F1" w14:textId="77777777" w:rsidR="00096E92" w:rsidRPr="00E47460" w:rsidRDefault="00BE582B">
            <w:pPr>
              <w:pBdr>
                <w:top w:val="nil"/>
                <w:left w:val="nil"/>
                <w:bottom w:val="nil"/>
                <w:right w:val="nil"/>
                <w:between w:val="nil"/>
              </w:pBdr>
              <w:spacing w:line="224" w:lineRule="auto"/>
              <w:ind w:left="258" w:right="253"/>
              <w:jc w:val="center"/>
              <w:rPr>
                <w:rFonts w:ascii="Century Gothic" w:hAnsi="Century Gothic"/>
                <w:color w:val="000000"/>
                <w:sz w:val="24"/>
                <w:szCs w:val="24"/>
              </w:rPr>
            </w:pPr>
            <w:r w:rsidRPr="00E47460">
              <w:rPr>
                <w:rFonts w:ascii="Century Gothic" w:hAnsi="Century Gothic"/>
                <w:color w:val="000000"/>
                <w:sz w:val="24"/>
                <w:szCs w:val="24"/>
              </w:rPr>
              <w:t>Regidores/Regidoras</w:t>
            </w:r>
          </w:p>
        </w:tc>
        <w:tc>
          <w:tcPr>
            <w:tcW w:w="3118" w:type="dxa"/>
          </w:tcPr>
          <w:p w14:paraId="59A979E1" w14:textId="77777777" w:rsidR="00096E92" w:rsidRPr="00E47460" w:rsidRDefault="00BE582B">
            <w:pPr>
              <w:pBdr>
                <w:top w:val="nil"/>
                <w:left w:val="nil"/>
                <w:bottom w:val="nil"/>
                <w:right w:val="nil"/>
                <w:between w:val="nil"/>
              </w:pBdr>
              <w:spacing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1,164</w:t>
            </w:r>
          </w:p>
        </w:tc>
        <w:tc>
          <w:tcPr>
            <w:tcW w:w="3040" w:type="dxa"/>
          </w:tcPr>
          <w:p w14:paraId="55B58EE5" w14:textId="77777777" w:rsidR="00096E92" w:rsidRPr="00E47460" w:rsidRDefault="00BE582B">
            <w:pPr>
              <w:pBdr>
                <w:top w:val="nil"/>
                <w:left w:val="nil"/>
                <w:bottom w:val="nil"/>
                <w:right w:val="nil"/>
                <w:between w:val="nil"/>
              </w:pBdr>
              <w:spacing w:line="224" w:lineRule="auto"/>
              <w:ind w:left="885" w:right="881"/>
              <w:jc w:val="center"/>
              <w:rPr>
                <w:rFonts w:ascii="Century Gothic" w:hAnsi="Century Gothic"/>
                <w:color w:val="000000"/>
                <w:sz w:val="24"/>
                <w:szCs w:val="24"/>
              </w:rPr>
            </w:pPr>
            <w:r w:rsidRPr="00E47460">
              <w:rPr>
                <w:rFonts w:ascii="Century Gothic" w:hAnsi="Century Gothic"/>
                <w:color w:val="000000"/>
                <w:sz w:val="24"/>
                <w:szCs w:val="24"/>
              </w:rPr>
              <w:t>233</w:t>
            </w:r>
          </w:p>
        </w:tc>
      </w:tr>
      <w:tr w:rsidR="00096E92" w:rsidRPr="00691783" w14:paraId="762D3EA2" w14:textId="77777777" w:rsidTr="00E47460">
        <w:trPr>
          <w:trHeight w:val="244"/>
        </w:trPr>
        <w:tc>
          <w:tcPr>
            <w:tcW w:w="3339" w:type="dxa"/>
          </w:tcPr>
          <w:p w14:paraId="42AA64F1" w14:textId="77777777" w:rsidR="00096E92" w:rsidRPr="00E47460" w:rsidRDefault="00BE582B">
            <w:pPr>
              <w:pBdr>
                <w:top w:val="nil"/>
                <w:left w:val="nil"/>
                <w:bottom w:val="nil"/>
                <w:right w:val="nil"/>
                <w:between w:val="nil"/>
              </w:pBdr>
              <w:spacing w:line="224" w:lineRule="auto"/>
              <w:ind w:left="258" w:right="252"/>
              <w:jc w:val="center"/>
              <w:rPr>
                <w:rFonts w:ascii="Century Gothic" w:hAnsi="Century Gothic"/>
                <w:color w:val="000000"/>
                <w:sz w:val="24"/>
                <w:szCs w:val="24"/>
              </w:rPr>
            </w:pPr>
            <w:r w:rsidRPr="00E47460">
              <w:rPr>
                <w:rFonts w:ascii="Century Gothic" w:hAnsi="Century Gothic"/>
                <w:color w:val="000000"/>
                <w:sz w:val="24"/>
                <w:szCs w:val="24"/>
              </w:rPr>
              <w:t>Directores(as)</w:t>
            </w:r>
          </w:p>
        </w:tc>
        <w:tc>
          <w:tcPr>
            <w:tcW w:w="3118" w:type="dxa"/>
          </w:tcPr>
          <w:p w14:paraId="1DEF4300" w14:textId="77777777" w:rsidR="00096E92" w:rsidRPr="00E47460" w:rsidRDefault="00BE582B">
            <w:pPr>
              <w:pBdr>
                <w:top w:val="nil"/>
                <w:left w:val="nil"/>
                <w:bottom w:val="nil"/>
                <w:right w:val="nil"/>
                <w:between w:val="nil"/>
              </w:pBdr>
              <w:spacing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235</w:t>
            </w:r>
          </w:p>
        </w:tc>
        <w:tc>
          <w:tcPr>
            <w:tcW w:w="3040" w:type="dxa"/>
          </w:tcPr>
          <w:p w14:paraId="7EEA1B7B" w14:textId="77777777" w:rsidR="00096E92" w:rsidRPr="00E47460" w:rsidRDefault="00BE582B">
            <w:pPr>
              <w:pBdr>
                <w:top w:val="nil"/>
                <w:left w:val="nil"/>
                <w:bottom w:val="nil"/>
                <w:right w:val="nil"/>
                <w:between w:val="nil"/>
              </w:pBdr>
              <w:spacing w:line="224" w:lineRule="auto"/>
              <w:ind w:left="885" w:right="876"/>
              <w:jc w:val="center"/>
              <w:rPr>
                <w:rFonts w:ascii="Century Gothic" w:hAnsi="Century Gothic"/>
                <w:color w:val="000000"/>
                <w:sz w:val="24"/>
                <w:szCs w:val="24"/>
              </w:rPr>
            </w:pPr>
            <w:r w:rsidRPr="00E47460">
              <w:rPr>
                <w:rFonts w:ascii="Century Gothic" w:hAnsi="Century Gothic"/>
                <w:color w:val="000000"/>
                <w:sz w:val="24"/>
                <w:szCs w:val="24"/>
              </w:rPr>
              <w:t>47</w:t>
            </w:r>
          </w:p>
        </w:tc>
      </w:tr>
      <w:tr w:rsidR="00096E92" w:rsidRPr="00691783" w14:paraId="78E54DCD" w14:textId="77777777" w:rsidTr="00E47460">
        <w:trPr>
          <w:trHeight w:val="246"/>
        </w:trPr>
        <w:tc>
          <w:tcPr>
            <w:tcW w:w="3339" w:type="dxa"/>
          </w:tcPr>
          <w:p w14:paraId="40C8BDEB" w14:textId="77777777" w:rsidR="00096E92" w:rsidRPr="00E47460" w:rsidRDefault="00BE582B">
            <w:pPr>
              <w:pBdr>
                <w:top w:val="nil"/>
                <w:left w:val="nil"/>
                <w:bottom w:val="nil"/>
                <w:right w:val="nil"/>
                <w:between w:val="nil"/>
              </w:pBdr>
              <w:spacing w:before="2" w:line="224" w:lineRule="auto"/>
              <w:ind w:left="258" w:right="253"/>
              <w:jc w:val="center"/>
              <w:rPr>
                <w:rFonts w:ascii="Century Gothic" w:hAnsi="Century Gothic"/>
                <w:color w:val="000000"/>
                <w:sz w:val="24"/>
                <w:szCs w:val="24"/>
              </w:rPr>
            </w:pPr>
            <w:r w:rsidRPr="00E47460">
              <w:rPr>
                <w:rFonts w:ascii="Century Gothic" w:hAnsi="Century Gothic"/>
                <w:color w:val="000000"/>
                <w:sz w:val="24"/>
                <w:szCs w:val="24"/>
              </w:rPr>
              <w:t>Subdirectores(as)</w:t>
            </w:r>
          </w:p>
        </w:tc>
        <w:tc>
          <w:tcPr>
            <w:tcW w:w="3118" w:type="dxa"/>
          </w:tcPr>
          <w:p w14:paraId="702ABDF4" w14:textId="77777777" w:rsidR="00096E92" w:rsidRPr="00E47460" w:rsidRDefault="00BE582B">
            <w:pPr>
              <w:pBdr>
                <w:top w:val="nil"/>
                <w:left w:val="nil"/>
                <w:bottom w:val="nil"/>
                <w:right w:val="nil"/>
                <w:between w:val="nil"/>
              </w:pBdr>
              <w:spacing w:before="2"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235</w:t>
            </w:r>
          </w:p>
        </w:tc>
        <w:tc>
          <w:tcPr>
            <w:tcW w:w="3040" w:type="dxa"/>
          </w:tcPr>
          <w:p w14:paraId="32C634D3" w14:textId="77777777" w:rsidR="00096E92" w:rsidRPr="00E47460" w:rsidRDefault="00BE582B">
            <w:pPr>
              <w:pBdr>
                <w:top w:val="nil"/>
                <w:left w:val="nil"/>
                <w:bottom w:val="nil"/>
                <w:right w:val="nil"/>
                <w:between w:val="nil"/>
              </w:pBdr>
              <w:spacing w:before="2" w:line="224" w:lineRule="auto"/>
              <w:ind w:left="885" w:right="876"/>
              <w:jc w:val="center"/>
              <w:rPr>
                <w:rFonts w:ascii="Century Gothic" w:hAnsi="Century Gothic"/>
                <w:color w:val="000000"/>
                <w:sz w:val="24"/>
                <w:szCs w:val="24"/>
              </w:rPr>
            </w:pPr>
            <w:r w:rsidRPr="00E47460">
              <w:rPr>
                <w:rFonts w:ascii="Century Gothic" w:hAnsi="Century Gothic"/>
                <w:color w:val="000000"/>
                <w:sz w:val="24"/>
                <w:szCs w:val="24"/>
              </w:rPr>
              <w:t>47</w:t>
            </w:r>
          </w:p>
        </w:tc>
      </w:tr>
      <w:tr w:rsidR="00096E92" w:rsidRPr="00691783" w14:paraId="03F37307" w14:textId="77777777" w:rsidTr="00E47460">
        <w:trPr>
          <w:trHeight w:val="244"/>
        </w:trPr>
        <w:tc>
          <w:tcPr>
            <w:tcW w:w="3339" w:type="dxa"/>
          </w:tcPr>
          <w:p w14:paraId="0FE6B8CC" w14:textId="77777777" w:rsidR="00096E92" w:rsidRPr="00E47460" w:rsidRDefault="00BE582B">
            <w:pPr>
              <w:pBdr>
                <w:top w:val="nil"/>
                <w:left w:val="nil"/>
                <w:bottom w:val="nil"/>
                <w:right w:val="nil"/>
                <w:between w:val="nil"/>
              </w:pBdr>
              <w:spacing w:line="224" w:lineRule="auto"/>
              <w:ind w:left="258" w:right="252"/>
              <w:jc w:val="center"/>
              <w:rPr>
                <w:rFonts w:ascii="Century Gothic" w:hAnsi="Century Gothic"/>
                <w:color w:val="000000"/>
                <w:sz w:val="24"/>
                <w:szCs w:val="24"/>
              </w:rPr>
            </w:pPr>
            <w:r w:rsidRPr="00E47460">
              <w:rPr>
                <w:rFonts w:ascii="Century Gothic" w:hAnsi="Century Gothic"/>
                <w:color w:val="000000"/>
                <w:sz w:val="24"/>
                <w:szCs w:val="24"/>
              </w:rPr>
              <w:t>Vocales</w:t>
            </w:r>
          </w:p>
        </w:tc>
        <w:tc>
          <w:tcPr>
            <w:tcW w:w="3118" w:type="dxa"/>
          </w:tcPr>
          <w:p w14:paraId="214C1F63" w14:textId="77777777" w:rsidR="00096E92" w:rsidRPr="00E47460" w:rsidRDefault="00BE582B">
            <w:pPr>
              <w:pBdr>
                <w:top w:val="nil"/>
                <w:left w:val="nil"/>
                <w:bottom w:val="nil"/>
                <w:right w:val="nil"/>
                <w:between w:val="nil"/>
              </w:pBdr>
              <w:spacing w:line="224" w:lineRule="auto"/>
              <w:ind w:left="517" w:right="510"/>
              <w:jc w:val="center"/>
              <w:rPr>
                <w:rFonts w:ascii="Century Gothic" w:hAnsi="Century Gothic"/>
                <w:color w:val="000000"/>
                <w:sz w:val="24"/>
                <w:szCs w:val="24"/>
              </w:rPr>
            </w:pPr>
            <w:r w:rsidRPr="00E47460">
              <w:rPr>
                <w:rFonts w:ascii="Century Gothic" w:hAnsi="Century Gothic"/>
                <w:color w:val="000000"/>
                <w:sz w:val="24"/>
                <w:szCs w:val="24"/>
              </w:rPr>
              <w:t>735</w:t>
            </w:r>
          </w:p>
        </w:tc>
        <w:tc>
          <w:tcPr>
            <w:tcW w:w="3040" w:type="dxa"/>
          </w:tcPr>
          <w:p w14:paraId="005CD210" w14:textId="77777777" w:rsidR="00096E92" w:rsidRPr="00E47460" w:rsidRDefault="00BE582B">
            <w:pPr>
              <w:pBdr>
                <w:top w:val="nil"/>
                <w:left w:val="nil"/>
                <w:bottom w:val="nil"/>
                <w:right w:val="nil"/>
                <w:between w:val="nil"/>
              </w:pBdr>
              <w:spacing w:line="224" w:lineRule="auto"/>
              <w:ind w:left="885" w:right="881"/>
              <w:jc w:val="center"/>
              <w:rPr>
                <w:rFonts w:ascii="Century Gothic" w:hAnsi="Century Gothic"/>
                <w:color w:val="000000"/>
                <w:sz w:val="24"/>
                <w:szCs w:val="24"/>
              </w:rPr>
            </w:pPr>
            <w:r w:rsidRPr="00E47460">
              <w:rPr>
                <w:rFonts w:ascii="Century Gothic" w:hAnsi="Century Gothic"/>
                <w:color w:val="000000"/>
                <w:sz w:val="24"/>
                <w:szCs w:val="24"/>
              </w:rPr>
              <w:t>147</w:t>
            </w:r>
          </w:p>
        </w:tc>
      </w:tr>
      <w:tr w:rsidR="00096E92" w:rsidRPr="00691783" w14:paraId="554DD8C3" w14:textId="77777777" w:rsidTr="00E47460">
        <w:trPr>
          <w:trHeight w:val="246"/>
        </w:trPr>
        <w:tc>
          <w:tcPr>
            <w:tcW w:w="3339" w:type="dxa"/>
          </w:tcPr>
          <w:p w14:paraId="2D908466" w14:textId="77777777" w:rsidR="00096E92" w:rsidRPr="00E47460" w:rsidRDefault="00BE582B">
            <w:pPr>
              <w:pBdr>
                <w:top w:val="nil"/>
                <w:left w:val="nil"/>
                <w:bottom w:val="nil"/>
                <w:right w:val="nil"/>
                <w:between w:val="nil"/>
              </w:pBdr>
              <w:spacing w:before="1" w:line="225" w:lineRule="auto"/>
              <w:ind w:left="258" w:right="252"/>
              <w:jc w:val="center"/>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Total</w:t>
            </w:r>
          </w:p>
        </w:tc>
        <w:tc>
          <w:tcPr>
            <w:tcW w:w="3118" w:type="dxa"/>
          </w:tcPr>
          <w:p w14:paraId="1C340F64" w14:textId="77777777" w:rsidR="00096E92" w:rsidRPr="00E47460" w:rsidRDefault="00BE582B">
            <w:pPr>
              <w:pBdr>
                <w:top w:val="nil"/>
                <w:left w:val="nil"/>
                <w:bottom w:val="nil"/>
                <w:right w:val="nil"/>
                <w:between w:val="nil"/>
              </w:pBdr>
              <w:spacing w:line="226" w:lineRule="auto"/>
              <w:ind w:left="517" w:right="513"/>
              <w:jc w:val="center"/>
              <w:rPr>
                <w:rFonts w:ascii="Century Gothic" w:hAnsi="Century Gothic"/>
                <w:color w:val="000000"/>
                <w:sz w:val="24"/>
                <w:szCs w:val="24"/>
              </w:rPr>
            </w:pPr>
            <w:r w:rsidRPr="00E47460">
              <w:rPr>
                <w:rFonts w:ascii="Century Gothic" w:hAnsi="Century Gothic"/>
                <w:color w:val="000000"/>
                <w:sz w:val="24"/>
                <w:szCs w:val="24"/>
              </w:rPr>
              <w:t>2,749</w:t>
            </w:r>
          </w:p>
        </w:tc>
        <w:tc>
          <w:tcPr>
            <w:tcW w:w="3040" w:type="dxa"/>
          </w:tcPr>
          <w:p w14:paraId="143F23D2" w14:textId="77777777" w:rsidR="00096E92" w:rsidRPr="00E47460" w:rsidRDefault="00BE582B">
            <w:pPr>
              <w:pBdr>
                <w:top w:val="nil"/>
                <w:left w:val="nil"/>
                <w:bottom w:val="nil"/>
                <w:right w:val="nil"/>
                <w:between w:val="nil"/>
              </w:pBdr>
              <w:spacing w:line="226" w:lineRule="auto"/>
              <w:ind w:left="885" w:right="881"/>
              <w:jc w:val="center"/>
              <w:rPr>
                <w:rFonts w:ascii="Century Gothic" w:hAnsi="Century Gothic"/>
                <w:color w:val="000000"/>
                <w:sz w:val="24"/>
                <w:szCs w:val="24"/>
              </w:rPr>
            </w:pPr>
            <w:r w:rsidRPr="00E47460">
              <w:rPr>
                <w:rFonts w:ascii="Century Gothic" w:hAnsi="Century Gothic"/>
                <w:color w:val="000000"/>
                <w:sz w:val="24"/>
                <w:szCs w:val="24"/>
              </w:rPr>
              <w:t>550</w:t>
            </w:r>
          </w:p>
        </w:tc>
      </w:tr>
    </w:tbl>
    <w:p w14:paraId="26818C24" w14:textId="77777777" w:rsidR="00096E92" w:rsidRPr="00E47460" w:rsidRDefault="00096E92">
      <w:pPr>
        <w:pBdr>
          <w:top w:val="nil"/>
          <w:left w:val="nil"/>
          <w:bottom w:val="nil"/>
          <w:right w:val="nil"/>
          <w:between w:val="nil"/>
        </w:pBdr>
        <w:spacing w:before="3"/>
        <w:rPr>
          <w:rFonts w:ascii="Century Gothic" w:hAnsi="Century Gothic"/>
          <w:color w:val="000000"/>
          <w:sz w:val="24"/>
          <w:szCs w:val="24"/>
        </w:rPr>
      </w:pPr>
    </w:p>
    <w:p w14:paraId="52EA1466" w14:textId="77777777" w:rsidR="00096E92" w:rsidRPr="00E47460" w:rsidRDefault="00BE582B" w:rsidP="003865F1">
      <w:pPr>
        <w:pBdr>
          <w:top w:val="nil"/>
          <w:left w:val="nil"/>
          <w:bottom w:val="nil"/>
          <w:right w:val="nil"/>
          <w:between w:val="nil"/>
        </w:pBdr>
        <w:spacing w:before="100"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 xml:space="preserve">Que, en la sentencia No. TC/0104/20 </w:t>
      </w:r>
      <w:r w:rsidR="00401587" w:rsidRPr="00E47460">
        <w:rPr>
          <w:rFonts w:ascii="Century Gothic" w:hAnsi="Century Gothic"/>
          <w:color w:val="000000"/>
          <w:sz w:val="24"/>
          <w:szCs w:val="24"/>
        </w:rPr>
        <w:t xml:space="preserve">dictada por el Tribunal Constitucional </w:t>
      </w:r>
      <w:r w:rsidRPr="00E47460">
        <w:rPr>
          <w:rFonts w:ascii="Century Gothic" w:hAnsi="Century Gothic"/>
          <w:color w:val="000000"/>
          <w:sz w:val="24"/>
          <w:szCs w:val="24"/>
        </w:rPr>
        <w:t>el 12 de mayo de 2020, en el numeral 12.18 de la página 29, la alta corte se refirió a los límites que deben ser observados al momento de aplicarse el porcentaje de las reservas de candidaturas, de conformidad con el párrafo III del artículo 58 de la Ley No. 33-18 de partidos, agrupaciones y movimientos políticos.</w:t>
      </w:r>
    </w:p>
    <w:p w14:paraId="791D664B" w14:textId="77777777" w:rsidR="00096E92" w:rsidRPr="00E47460" w:rsidRDefault="00096E92">
      <w:pPr>
        <w:pBdr>
          <w:top w:val="nil"/>
          <w:left w:val="nil"/>
          <w:bottom w:val="nil"/>
          <w:right w:val="nil"/>
          <w:between w:val="nil"/>
        </w:pBdr>
        <w:spacing w:before="10"/>
        <w:rPr>
          <w:rFonts w:ascii="Century Gothic" w:hAnsi="Century Gothic"/>
          <w:color w:val="000000"/>
          <w:sz w:val="24"/>
          <w:szCs w:val="24"/>
        </w:rPr>
      </w:pPr>
    </w:p>
    <w:p w14:paraId="77EA31E5"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Que el artículo 96 de la Ley No. 20-23, Orgánica del Régimen Electoral</w:t>
      </w:r>
      <w:r w:rsidR="009C401A" w:rsidRPr="00E47460">
        <w:rPr>
          <w:rFonts w:ascii="Century Gothic" w:hAnsi="Century Gothic"/>
          <w:color w:val="000000"/>
          <w:sz w:val="24"/>
          <w:szCs w:val="24"/>
        </w:rPr>
        <w:t>,</w:t>
      </w:r>
      <w:r w:rsidRPr="00E47460">
        <w:rPr>
          <w:rFonts w:ascii="Century Gothic" w:hAnsi="Century Gothic"/>
          <w:color w:val="000000"/>
          <w:sz w:val="24"/>
          <w:szCs w:val="24"/>
        </w:rPr>
        <w:t xml:space="preserve"> al referirse a los niveles de elección dispone lo siguiente:</w:t>
      </w:r>
    </w:p>
    <w:p w14:paraId="6E8918B2" w14:textId="77777777" w:rsidR="00096E92" w:rsidRPr="00E47460" w:rsidRDefault="00096E92" w:rsidP="003865F1">
      <w:pPr>
        <w:pBdr>
          <w:top w:val="nil"/>
          <w:left w:val="nil"/>
          <w:bottom w:val="nil"/>
          <w:right w:val="nil"/>
          <w:between w:val="nil"/>
        </w:pBdr>
        <w:spacing w:line="276" w:lineRule="auto"/>
        <w:rPr>
          <w:rFonts w:ascii="Century Gothic" w:hAnsi="Century Gothic"/>
          <w:color w:val="000000"/>
          <w:sz w:val="24"/>
          <w:szCs w:val="24"/>
        </w:rPr>
      </w:pPr>
    </w:p>
    <w:p w14:paraId="1C856445" w14:textId="77777777" w:rsidR="00096E92" w:rsidRPr="00E47460" w:rsidRDefault="00BE582B" w:rsidP="003865F1">
      <w:pPr>
        <w:pBdr>
          <w:top w:val="nil"/>
          <w:left w:val="nil"/>
          <w:bottom w:val="nil"/>
          <w:right w:val="nil"/>
          <w:between w:val="nil"/>
        </w:pBdr>
        <w:spacing w:line="276" w:lineRule="auto"/>
        <w:ind w:left="857" w:right="990"/>
        <w:jc w:val="both"/>
        <w:rPr>
          <w:rFonts w:ascii="Century Gothic" w:hAnsi="Century Gothic"/>
          <w:color w:val="000000"/>
          <w:sz w:val="24"/>
          <w:szCs w:val="24"/>
        </w:rPr>
      </w:pPr>
      <w:r w:rsidRPr="00E47460">
        <w:rPr>
          <w:rFonts w:ascii="Century Gothic" w:hAnsi="Century Gothic"/>
          <w:color w:val="000000"/>
          <w:sz w:val="24"/>
          <w:szCs w:val="24"/>
        </w:rPr>
        <w:t>“</w:t>
      </w:r>
      <w:r w:rsidRPr="00E47460">
        <w:rPr>
          <w:rFonts w:ascii="Century Gothic" w:eastAsia="Tahoma" w:hAnsi="Century Gothic" w:cs="Tahoma"/>
          <w:b/>
          <w:color w:val="000000"/>
          <w:sz w:val="24"/>
          <w:szCs w:val="24"/>
        </w:rPr>
        <w:t>Artículo 96.- Niveles de elección</w:t>
      </w:r>
      <w:r w:rsidRPr="00E47460">
        <w:rPr>
          <w:rFonts w:ascii="Century Gothic" w:hAnsi="Century Gothic"/>
          <w:color w:val="000000"/>
          <w:sz w:val="24"/>
          <w:szCs w:val="24"/>
        </w:rPr>
        <w:t>. Se denomina niveles de elección lo que contienen candidaturas indivisibles o no fraccionables en sí mismas y, se clasificará en los siguientes niveles: 1) Nivel presidencial: Se refiere a la elección conjunta del presidente y del vicepresidente de la República; 2) Nivel senatorial: Se refiere a la elección de senadores y senadoras; 3) Nivel de diputaciones: Se refiere a la elección conjunta de diputados por demarcación territorial, diputados nacionales por acumulación de votos y diputados representantes de la comunidad dominicana en el exterior; 4) Nivel de alcaldías: Se refiere a la elección conjunta de alcaldes y vicealcaldes; 5) Nivel de regidurías: Se refiere a la elección conjunta de los regidores y sus suplentes; - 38 - 6) Nivel de directores distritales: Se refiere a la elección conjunta de los directores y subdirectores de distritos municipales; y 7) Nivel de vocalías: Se refiere a la elección conjunta de los vocales de los distritos municipales”.</w:t>
      </w:r>
    </w:p>
    <w:p w14:paraId="44646B6E" w14:textId="77777777" w:rsidR="004821FE" w:rsidRPr="00E47460" w:rsidRDefault="004821FE" w:rsidP="003865F1">
      <w:pPr>
        <w:pBdr>
          <w:top w:val="nil"/>
          <w:left w:val="nil"/>
          <w:bottom w:val="nil"/>
          <w:right w:val="nil"/>
          <w:between w:val="nil"/>
        </w:pBdr>
        <w:spacing w:line="276" w:lineRule="auto"/>
        <w:ind w:right="-41"/>
        <w:jc w:val="both"/>
        <w:rPr>
          <w:rFonts w:ascii="Century Gothic" w:eastAsia="Tahoma" w:hAnsi="Century Gothic" w:cs="Tahoma"/>
          <w:b/>
          <w:color w:val="000000"/>
          <w:sz w:val="24"/>
          <w:szCs w:val="24"/>
        </w:rPr>
      </w:pPr>
    </w:p>
    <w:p w14:paraId="5B7A35EC"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Que los partidos, agrupaciones y movimientos políticos, de conformidad con la ley, tienen el derecho de pactar las alianzas y formar coaliciones, según lo consideren necesario y útil para los fines que les son propios, pudiendo disponer de una determinada cantidad de posiciones electivas que les permitan concertar dichos acuerdos y presentar candidaturas comunes, sin que las mismas deban ser sometidas a un proceso interno de selección, tal y como es el caso de las candidaturas reservadas.</w:t>
      </w:r>
    </w:p>
    <w:p w14:paraId="7A738C34" w14:textId="77777777" w:rsidR="00096E92" w:rsidRPr="00E47460" w:rsidRDefault="00096E92" w:rsidP="003865F1">
      <w:pPr>
        <w:pBdr>
          <w:top w:val="nil"/>
          <w:left w:val="nil"/>
          <w:bottom w:val="nil"/>
          <w:right w:val="nil"/>
          <w:between w:val="nil"/>
        </w:pBdr>
        <w:spacing w:before="10" w:line="276" w:lineRule="auto"/>
        <w:rPr>
          <w:rFonts w:ascii="Century Gothic" w:hAnsi="Century Gothic"/>
          <w:color w:val="000000"/>
          <w:sz w:val="24"/>
          <w:szCs w:val="24"/>
        </w:rPr>
      </w:pPr>
    </w:p>
    <w:p w14:paraId="3DD68F31" w14:textId="77777777" w:rsidR="00096E92"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CONSIDERANDO: </w:t>
      </w:r>
      <w:r w:rsidRPr="00E47460">
        <w:rPr>
          <w:rFonts w:ascii="Century Gothic" w:hAnsi="Century Gothic"/>
          <w:color w:val="000000"/>
          <w:sz w:val="24"/>
          <w:szCs w:val="24"/>
        </w:rPr>
        <w:t>Que la Ley No. 33-18 de partidos, agrupaciones y movimientos políticos</w:t>
      </w:r>
      <w:r w:rsidR="00892891" w:rsidRPr="00E47460">
        <w:rPr>
          <w:rFonts w:ascii="Century Gothic" w:hAnsi="Century Gothic"/>
          <w:color w:val="000000"/>
          <w:sz w:val="24"/>
          <w:szCs w:val="24"/>
        </w:rPr>
        <w:t>,</w:t>
      </w:r>
      <w:r w:rsidRPr="00E47460">
        <w:rPr>
          <w:rFonts w:ascii="Century Gothic" w:hAnsi="Century Gothic"/>
          <w:color w:val="000000"/>
          <w:sz w:val="24"/>
          <w:szCs w:val="24"/>
        </w:rPr>
        <w:t xml:space="preserve"> establece en sus artículos 57 y 58</w:t>
      </w:r>
      <w:r w:rsidR="00892891" w:rsidRPr="00E47460">
        <w:rPr>
          <w:rFonts w:ascii="Century Gothic" w:hAnsi="Century Gothic"/>
          <w:color w:val="000000"/>
          <w:sz w:val="24"/>
          <w:szCs w:val="24"/>
        </w:rPr>
        <w:t>,</w:t>
      </w:r>
      <w:r w:rsidRPr="00E47460">
        <w:rPr>
          <w:rFonts w:ascii="Century Gothic" w:hAnsi="Century Gothic"/>
          <w:color w:val="000000"/>
          <w:sz w:val="24"/>
          <w:szCs w:val="24"/>
        </w:rPr>
        <w:t xml:space="preserve"> respectivamente, como plazo límite para la determinación de las reservas de candidaturas para alianzas o fusiones, correspondientes a Primarias Simultáneas el día</w:t>
      </w:r>
      <w:r w:rsidR="001F61EB">
        <w:rPr>
          <w:rFonts w:ascii="Century Gothic" w:hAnsi="Century Gothic"/>
          <w:color w:val="000000"/>
          <w:sz w:val="24"/>
          <w:szCs w:val="24"/>
        </w:rPr>
        <w:t xml:space="preserve"> dos (</w:t>
      </w:r>
      <w:r w:rsidRPr="00E47460">
        <w:rPr>
          <w:rFonts w:ascii="Century Gothic" w:hAnsi="Century Gothic"/>
          <w:color w:val="000000"/>
          <w:sz w:val="24"/>
          <w:szCs w:val="24"/>
        </w:rPr>
        <w:t>2</w:t>
      </w:r>
      <w:r w:rsidR="001F61EB">
        <w:rPr>
          <w:rFonts w:ascii="Century Gothic" w:hAnsi="Century Gothic"/>
          <w:color w:val="000000"/>
          <w:sz w:val="24"/>
          <w:szCs w:val="24"/>
        </w:rPr>
        <w:t>)</w:t>
      </w:r>
      <w:r w:rsidRPr="00E47460">
        <w:rPr>
          <w:rFonts w:ascii="Century Gothic" w:hAnsi="Century Gothic"/>
          <w:color w:val="000000"/>
          <w:sz w:val="24"/>
          <w:szCs w:val="24"/>
        </w:rPr>
        <w:t xml:space="preserve"> de junio de 2023, así como</w:t>
      </w:r>
      <w:r w:rsidR="00120AF4" w:rsidRPr="00E47460">
        <w:rPr>
          <w:rFonts w:ascii="Century Gothic" w:hAnsi="Century Gothic"/>
          <w:color w:val="000000"/>
          <w:sz w:val="24"/>
          <w:szCs w:val="24"/>
        </w:rPr>
        <w:t xml:space="preserve"> </w:t>
      </w:r>
      <w:r w:rsidRPr="00E47460">
        <w:rPr>
          <w:rFonts w:ascii="Century Gothic" w:hAnsi="Century Gothic"/>
          <w:color w:val="000000"/>
          <w:sz w:val="24"/>
          <w:szCs w:val="24"/>
        </w:rPr>
        <w:t xml:space="preserve">también establece el plazo límite para publicar y comunicar por escrito a la Junta Central Electoral los cargos, posiciones y demarcaciones que corresponden al 20% de candidaturas reservadas a la alta dirección de los partidos y que es el </w:t>
      </w:r>
      <w:r w:rsidR="001C3F9F">
        <w:rPr>
          <w:rFonts w:ascii="Century Gothic" w:hAnsi="Century Gothic"/>
          <w:color w:val="000000"/>
          <w:sz w:val="24"/>
          <w:szCs w:val="24"/>
        </w:rPr>
        <w:t>diecisiete (</w:t>
      </w:r>
      <w:r w:rsidRPr="00E47460">
        <w:rPr>
          <w:rFonts w:ascii="Century Gothic" w:hAnsi="Century Gothic"/>
          <w:color w:val="000000"/>
          <w:sz w:val="24"/>
          <w:szCs w:val="24"/>
        </w:rPr>
        <w:t>17</w:t>
      </w:r>
      <w:r w:rsidR="001C3F9F">
        <w:rPr>
          <w:rFonts w:ascii="Century Gothic" w:hAnsi="Century Gothic"/>
          <w:color w:val="000000"/>
          <w:sz w:val="24"/>
          <w:szCs w:val="24"/>
        </w:rPr>
        <w:t>)</w:t>
      </w:r>
      <w:r w:rsidRPr="00E47460">
        <w:rPr>
          <w:rFonts w:ascii="Century Gothic" w:hAnsi="Century Gothic"/>
          <w:color w:val="000000"/>
          <w:sz w:val="24"/>
          <w:szCs w:val="24"/>
        </w:rPr>
        <w:t xml:space="preserve"> de junio de 2023.</w:t>
      </w:r>
    </w:p>
    <w:p w14:paraId="6B401EA5" w14:textId="77777777" w:rsidR="000A0540" w:rsidRDefault="000A0540" w:rsidP="003865F1">
      <w:pPr>
        <w:pBdr>
          <w:top w:val="nil"/>
          <w:left w:val="nil"/>
          <w:bottom w:val="nil"/>
          <w:right w:val="nil"/>
          <w:between w:val="nil"/>
        </w:pBdr>
        <w:spacing w:line="276" w:lineRule="auto"/>
        <w:ind w:right="-41"/>
        <w:jc w:val="both"/>
        <w:rPr>
          <w:rFonts w:ascii="Century Gothic" w:hAnsi="Century Gothic"/>
          <w:color w:val="000000"/>
          <w:sz w:val="24"/>
          <w:szCs w:val="24"/>
        </w:rPr>
      </w:pPr>
    </w:p>
    <w:p w14:paraId="15E48399" w14:textId="77777777" w:rsidR="000A0540" w:rsidRPr="00302A62" w:rsidRDefault="000A0540" w:rsidP="000A0540">
      <w:pPr>
        <w:pStyle w:val="Encabezado"/>
        <w:jc w:val="both"/>
        <w:rPr>
          <w:rFonts w:ascii="Century Gothic" w:hAnsi="Century Gothic"/>
          <w:color w:val="000000"/>
          <w:sz w:val="24"/>
          <w:szCs w:val="24"/>
        </w:rPr>
      </w:pPr>
      <w:r w:rsidRPr="00302A62">
        <w:rPr>
          <w:rFonts w:ascii="Century Gothic" w:hAnsi="Century Gothic"/>
          <w:b/>
          <w:color w:val="000000"/>
          <w:sz w:val="24"/>
          <w:szCs w:val="24"/>
        </w:rPr>
        <w:t>CONSIDERANDO:</w:t>
      </w:r>
      <w:r w:rsidRPr="00302A62">
        <w:rPr>
          <w:rFonts w:ascii="Century Gothic" w:hAnsi="Century Gothic"/>
          <w:color w:val="000000"/>
          <w:sz w:val="24"/>
          <w:szCs w:val="24"/>
        </w:rPr>
        <w:t xml:space="preserve"> Que el presente borrador de resolución ha sido adoptado con el voto disidente de </w:t>
      </w:r>
      <w:r w:rsidRPr="00302A62">
        <w:rPr>
          <w:rFonts w:ascii="Century Gothic" w:hAnsi="Century Gothic"/>
          <w:b/>
          <w:color w:val="000000"/>
          <w:sz w:val="24"/>
          <w:szCs w:val="24"/>
        </w:rPr>
        <w:t>Dolores Altagracia Fernández Sánchez</w:t>
      </w:r>
      <w:r w:rsidRPr="00302A62">
        <w:rPr>
          <w:rFonts w:ascii="Century Gothic" w:hAnsi="Century Gothic"/>
          <w:color w:val="000000"/>
          <w:sz w:val="24"/>
          <w:szCs w:val="24"/>
        </w:rPr>
        <w:t>, Miembro Titular, el cual se ha hecho constar en el acta de la sesión administrativa extraordinaria de fecha 03 de mayo de 2023.</w:t>
      </w:r>
    </w:p>
    <w:p w14:paraId="7A994E88" w14:textId="77777777" w:rsidR="000A0540" w:rsidRPr="00302A62" w:rsidRDefault="000A0540" w:rsidP="003865F1">
      <w:pPr>
        <w:pBdr>
          <w:top w:val="nil"/>
          <w:left w:val="nil"/>
          <w:bottom w:val="nil"/>
          <w:right w:val="nil"/>
          <w:between w:val="nil"/>
        </w:pBdr>
        <w:spacing w:line="276" w:lineRule="auto"/>
        <w:ind w:right="-41"/>
        <w:jc w:val="both"/>
        <w:rPr>
          <w:rFonts w:ascii="Century Gothic" w:hAnsi="Century Gothic"/>
          <w:color w:val="000000"/>
          <w:sz w:val="24"/>
          <w:szCs w:val="24"/>
          <w:lang w:val="es-DO"/>
        </w:rPr>
      </w:pPr>
    </w:p>
    <w:p w14:paraId="6666C252"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hAnsi="Century Gothic"/>
          <w:color w:val="000000"/>
          <w:sz w:val="24"/>
          <w:szCs w:val="24"/>
        </w:rPr>
        <w:t xml:space="preserve">Por tales motivos, la </w:t>
      </w:r>
      <w:r w:rsidRPr="00E47460">
        <w:rPr>
          <w:rFonts w:ascii="Century Gothic" w:eastAsia="Tahoma" w:hAnsi="Century Gothic" w:cs="Tahoma"/>
          <w:b/>
          <w:color w:val="000000"/>
          <w:sz w:val="24"/>
          <w:szCs w:val="24"/>
        </w:rPr>
        <w:t>JUNTA CENTRAL ELECTORAL</w:t>
      </w:r>
      <w:r w:rsidRPr="00E47460">
        <w:rPr>
          <w:rFonts w:ascii="Century Gothic" w:hAnsi="Century Gothic"/>
          <w:color w:val="000000"/>
          <w:sz w:val="24"/>
          <w:szCs w:val="24"/>
        </w:rPr>
        <w:t>, en virtud de las disposiciones contenidas en los artículos 22, 208, 209, 211, 212 y 216 de la Constitución de la</w:t>
      </w:r>
      <w:r w:rsidR="00892891" w:rsidRPr="00E47460">
        <w:rPr>
          <w:rFonts w:ascii="Century Gothic" w:hAnsi="Century Gothic"/>
          <w:color w:val="000000"/>
          <w:sz w:val="24"/>
          <w:szCs w:val="24"/>
        </w:rPr>
        <w:t xml:space="preserve"> </w:t>
      </w:r>
      <w:r w:rsidRPr="00E47460">
        <w:rPr>
          <w:rFonts w:ascii="Century Gothic" w:hAnsi="Century Gothic"/>
          <w:color w:val="000000"/>
          <w:sz w:val="24"/>
          <w:szCs w:val="24"/>
        </w:rPr>
        <w:t>República; artículos 19, 30.1, 30.3</w:t>
      </w:r>
      <w:r w:rsidR="00DF53D1" w:rsidRPr="00E47460">
        <w:rPr>
          <w:rFonts w:ascii="Century Gothic" w:hAnsi="Century Gothic"/>
          <w:color w:val="000000"/>
          <w:sz w:val="24"/>
          <w:szCs w:val="24"/>
        </w:rPr>
        <w:t>,</w:t>
      </w:r>
      <w:r w:rsidRPr="00E47460">
        <w:rPr>
          <w:rFonts w:ascii="Century Gothic" w:hAnsi="Century Gothic"/>
          <w:color w:val="000000"/>
          <w:sz w:val="24"/>
          <w:szCs w:val="24"/>
        </w:rPr>
        <w:t xml:space="preserve"> 30.4, 57 y 58 de la Ley núm. 33-18, de Partidos, Agrupaciones y Movimientos Políticos y en uso de sus facultades legales y reglamentarias, dicta la siguiente:</w:t>
      </w:r>
    </w:p>
    <w:p w14:paraId="0F39BB01" w14:textId="77777777" w:rsidR="00096E92" w:rsidRPr="001B0F6F" w:rsidRDefault="00096E92">
      <w:pPr>
        <w:pBdr>
          <w:top w:val="nil"/>
          <w:left w:val="nil"/>
          <w:bottom w:val="nil"/>
          <w:right w:val="nil"/>
          <w:between w:val="nil"/>
        </w:pBdr>
        <w:spacing w:before="2"/>
        <w:rPr>
          <w:rFonts w:ascii="Century Gothic" w:hAnsi="Century Gothic"/>
          <w:color w:val="000000"/>
          <w:sz w:val="14"/>
          <w:szCs w:val="24"/>
        </w:rPr>
      </w:pPr>
    </w:p>
    <w:p w14:paraId="34C7C877" w14:textId="77777777" w:rsidR="00096E92" w:rsidRPr="00E47460" w:rsidRDefault="00BE582B">
      <w:pPr>
        <w:pStyle w:val="Ttulo1"/>
        <w:rPr>
          <w:rFonts w:ascii="Century Gothic" w:hAnsi="Century Gothic"/>
        </w:rPr>
      </w:pPr>
      <w:r w:rsidRPr="00E47460">
        <w:rPr>
          <w:rFonts w:ascii="Century Gothic" w:hAnsi="Century Gothic"/>
        </w:rPr>
        <w:t>RESOLUCIÓN:</w:t>
      </w:r>
    </w:p>
    <w:p w14:paraId="6F62526C" w14:textId="77777777" w:rsidR="00096E92" w:rsidRPr="001B0F6F" w:rsidRDefault="00096E92">
      <w:pPr>
        <w:pBdr>
          <w:top w:val="nil"/>
          <w:left w:val="nil"/>
          <w:bottom w:val="nil"/>
          <w:right w:val="nil"/>
          <w:between w:val="nil"/>
        </w:pBdr>
        <w:spacing w:before="10"/>
        <w:rPr>
          <w:rFonts w:ascii="Century Gothic" w:eastAsia="Tahoma" w:hAnsi="Century Gothic" w:cs="Tahoma"/>
          <w:b/>
          <w:color w:val="000000"/>
          <w:sz w:val="12"/>
          <w:szCs w:val="24"/>
        </w:rPr>
      </w:pPr>
    </w:p>
    <w:p w14:paraId="2A00E73B"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PRIMERO. Objeto. </w:t>
      </w:r>
      <w:r w:rsidRPr="00E47460">
        <w:rPr>
          <w:rFonts w:ascii="Century Gothic" w:hAnsi="Century Gothic"/>
          <w:color w:val="000000"/>
          <w:sz w:val="24"/>
          <w:szCs w:val="24"/>
        </w:rPr>
        <w:t>La presente resolución tiene por objeto disponer las medidas que deberán observar los partidos, agrupaciones y movimientos políticos para la aplicación del porcentaje del veinte por ciento (20%) de las reservas de las candidaturas a puestos de elección popular que establece el artículo 58 de la Ley No. 33-18 de partidos, agrupaciones y movimientos políticos.</w:t>
      </w:r>
    </w:p>
    <w:p w14:paraId="7FB38EC8" w14:textId="77777777" w:rsidR="00096E92" w:rsidRPr="00E47460" w:rsidRDefault="00096E92" w:rsidP="003865F1">
      <w:pPr>
        <w:pBdr>
          <w:top w:val="nil"/>
          <w:left w:val="nil"/>
          <w:bottom w:val="nil"/>
          <w:right w:val="nil"/>
          <w:between w:val="nil"/>
        </w:pBdr>
        <w:spacing w:before="11" w:line="276" w:lineRule="auto"/>
        <w:rPr>
          <w:rFonts w:ascii="Century Gothic" w:hAnsi="Century Gothic"/>
          <w:color w:val="000000"/>
          <w:sz w:val="24"/>
          <w:szCs w:val="24"/>
        </w:rPr>
      </w:pPr>
    </w:p>
    <w:p w14:paraId="26799262" w14:textId="77777777" w:rsidR="00096E92" w:rsidRPr="00E47460" w:rsidRDefault="00BE582B" w:rsidP="003865F1">
      <w:pPr>
        <w:spacing w:line="276" w:lineRule="auto"/>
        <w:ind w:right="-41"/>
        <w:jc w:val="both"/>
        <w:rPr>
          <w:rFonts w:ascii="Century Gothic" w:hAnsi="Century Gothic"/>
          <w:sz w:val="24"/>
          <w:szCs w:val="24"/>
        </w:rPr>
      </w:pPr>
      <w:r w:rsidRPr="00E47460">
        <w:rPr>
          <w:rFonts w:ascii="Century Gothic" w:eastAsia="Tahoma" w:hAnsi="Century Gothic" w:cs="Tahoma"/>
          <w:b/>
          <w:sz w:val="24"/>
          <w:szCs w:val="24"/>
        </w:rPr>
        <w:t xml:space="preserve">SEGUNDO. Aplicación de las reservas de candidaturas por nivel de elección. </w:t>
      </w:r>
      <w:r w:rsidRPr="00E47460">
        <w:rPr>
          <w:rFonts w:ascii="Century Gothic" w:hAnsi="Century Gothic"/>
          <w:sz w:val="24"/>
          <w:szCs w:val="24"/>
        </w:rPr>
        <w:t>Las reservas de candidaturas que al efecto deban ser realizadas por los partidos, agrupaciones y movimientos políticos dentro del porcentaje del veinte por ciento (20%) que establece la ley, deberá ser realizada por cada nivel de elección, según se indica a continuación:</w:t>
      </w:r>
    </w:p>
    <w:p w14:paraId="20F179AB" w14:textId="77777777" w:rsidR="00096E92" w:rsidRPr="00E47460" w:rsidRDefault="00096E92">
      <w:pPr>
        <w:pBdr>
          <w:top w:val="nil"/>
          <w:left w:val="nil"/>
          <w:bottom w:val="nil"/>
          <w:right w:val="nil"/>
          <w:between w:val="nil"/>
        </w:pBdr>
        <w:spacing w:before="5"/>
        <w:rPr>
          <w:rFonts w:ascii="Century Gothic" w:hAnsi="Century Gothic"/>
          <w:color w:val="000000"/>
          <w:sz w:val="24"/>
          <w:szCs w:val="24"/>
        </w:rPr>
      </w:pPr>
    </w:p>
    <w:p w14:paraId="6AD55435" w14:textId="77777777" w:rsidR="00096E92" w:rsidRPr="00E47460" w:rsidRDefault="00BE582B">
      <w:pPr>
        <w:pStyle w:val="Ttulo1"/>
        <w:tabs>
          <w:tab w:val="left" w:pos="3302"/>
        </w:tabs>
        <w:rPr>
          <w:rFonts w:ascii="Century Gothic" w:hAnsi="Century Gothic"/>
        </w:rPr>
      </w:pPr>
      <w:r w:rsidRPr="00E47460">
        <w:rPr>
          <w:rFonts w:ascii="Century Gothic" w:hAnsi="Century Gothic"/>
        </w:rPr>
        <w:t>Nivel de elección</w:t>
      </w:r>
      <w:r w:rsidRPr="00E47460">
        <w:rPr>
          <w:rFonts w:ascii="Century Gothic" w:hAnsi="Century Gothic"/>
        </w:rPr>
        <w:tab/>
        <w:t>Porcentaje para las reservas de candidaturas</w:t>
      </w:r>
    </w:p>
    <w:p w14:paraId="150C7336" w14:textId="77777777" w:rsidR="00096E92" w:rsidRPr="00E47460" w:rsidRDefault="00096E92">
      <w:pPr>
        <w:pBdr>
          <w:top w:val="nil"/>
          <w:left w:val="nil"/>
          <w:bottom w:val="nil"/>
          <w:right w:val="nil"/>
          <w:between w:val="nil"/>
        </w:pBdr>
        <w:spacing w:before="6"/>
        <w:rPr>
          <w:rFonts w:ascii="Century Gothic" w:eastAsia="Tahoma" w:hAnsi="Century Gothic" w:cs="Tahoma"/>
          <w:b/>
          <w:color w:val="000000"/>
          <w:sz w:val="24"/>
          <w:szCs w:val="24"/>
        </w:rPr>
      </w:pPr>
    </w:p>
    <w:tbl>
      <w:tblPr>
        <w:tblStyle w:val="a0"/>
        <w:tblW w:w="95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2"/>
        <w:gridCol w:w="6238"/>
      </w:tblGrid>
      <w:tr w:rsidR="00096E92" w:rsidRPr="00691783" w14:paraId="51F2F2B1" w14:textId="77777777">
        <w:trPr>
          <w:trHeight w:val="539"/>
        </w:trPr>
        <w:tc>
          <w:tcPr>
            <w:tcW w:w="3262" w:type="dxa"/>
          </w:tcPr>
          <w:p w14:paraId="19AC9F22"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senatorial</w:t>
            </w:r>
          </w:p>
        </w:tc>
        <w:tc>
          <w:tcPr>
            <w:tcW w:w="6238" w:type="dxa"/>
          </w:tcPr>
          <w:p w14:paraId="0E619DE4"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r w:rsidR="00096E92" w:rsidRPr="00691783" w14:paraId="773A4F04" w14:textId="77777777">
        <w:trPr>
          <w:trHeight w:val="539"/>
        </w:trPr>
        <w:tc>
          <w:tcPr>
            <w:tcW w:w="3262" w:type="dxa"/>
          </w:tcPr>
          <w:p w14:paraId="70555959"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de diputaciones</w:t>
            </w:r>
          </w:p>
        </w:tc>
        <w:tc>
          <w:tcPr>
            <w:tcW w:w="6238" w:type="dxa"/>
          </w:tcPr>
          <w:p w14:paraId="15519E80"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r w:rsidR="00096E92" w:rsidRPr="00691783" w14:paraId="739F668A" w14:textId="77777777">
        <w:trPr>
          <w:trHeight w:val="539"/>
        </w:trPr>
        <w:tc>
          <w:tcPr>
            <w:tcW w:w="3262" w:type="dxa"/>
          </w:tcPr>
          <w:p w14:paraId="12F64757"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de alcaldías</w:t>
            </w:r>
          </w:p>
        </w:tc>
        <w:tc>
          <w:tcPr>
            <w:tcW w:w="6238" w:type="dxa"/>
          </w:tcPr>
          <w:p w14:paraId="0D1B83E3"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r w:rsidR="00096E92" w:rsidRPr="00691783" w14:paraId="79829E0C" w14:textId="77777777">
        <w:trPr>
          <w:trHeight w:val="539"/>
        </w:trPr>
        <w:tc>
          <w:tcPr>
            <w:tcW w:w="3262" w:type="dxa"/>
          </w:tcPr>
          <w:p w14:paraId="452DBC7C"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de regidurías</w:t>
            </w:r>
          </w:p>
        </w:tc>
        <w:tc>
          <w:tcPr>
            <w:tcW w:w="6238" w:type="dxa"/>
          </w:tcPr>
          <w:p w14:paraId="06A4C0BC"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r w:rsidR="00096E92" w:rsidRPr="00691783" w14:paraId="6EE6B5AC" w14:textId="77777777">
        <w:trPr>
          <w:trHeight w:val="539"/>
        </w:trPr>
        <w:tc>
          <w:tcPr>
            <w:tcW w:w="3262" w:type="dxa"/>
          </w:tcPr>
          <w:p w14:paraId="22F62394"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de directores distritales</w:t>
            </w:r>
          </w:p>
        </w:tc>
        <w:tc>
          <w:tcPr>
            <w:tcW w:w="6238" w:type="dxa"/>
          </w:tcPr>
          <w:p w14:paraId="57BFA9EC"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r w:rsidR="00096E92" w:rsidRPr="00691783" w14:paraId="6D09F644" w14:textId="77777777">
        <w:trPr>
          <w:trHeight w:val="540"/>
        </w:trPr>
        <w:tc>
          <w:tcPr>
            <w:tcW w:w="3262" w:type="dxa"/>
          </w:tcPr>
          <w:p w14:paraId="23D479C1" w14:textId="77777777" w:rsidR="00096E92" w:rsidRPr="00E47460" w:rsidRDefault="00BE582B">
            <w:pPr>
              <w:pBdr>
                <w:top w:val="nil"/>
                <w:left w:val="nil"/>
                <w:bottom w:val="nil"/>
                <w:right w:val="nil"/>
                <w:between w:val="nil"/>
              </w:pBdr>
              <w:ind w:left="107"/>
              <w:rPr>
                <w:rFonts w:ascii="Century Gothic" w:eastAsia="Tahoma" w:hAnsi="Century Gothic" w:cs="Tahoma"/>
                <w:b/>
                <w:color w:val="000000"/>
                <w:sz w:val="24"/>
                <w:szCs w:val="24"/>
              </w:rPr>
            </w:pPr>
            <w:r w:rsidRPr="00E47460">
              <w:rPr>
                <w:rFonts w:ascii="Century Gothic" w:eastAsia="Tahoma" w:hAnsi="Century Gothic" w:cs="Tahoma"/>
                <w:b/>
                <w:color w:val="000000"/>
                <w:sz w:val="24"/>
                <w:szCs w:val="24"/>
              </w:rPr>
              <w:t>Nivel de vocalías</w:t>
            </w:r>
          </w:p>
        </w:tc>
        <w:tc>
          <w:tcPr>
            <w:tcW w:w="6238" w:type="dxa"/>
          </w:tcPr>
          <w:p w14:paraId="294F94BE" w14:textId="77777777" w:rsidR="00096E92" w:rsidRPr="00E47460" w:rsidRDefault="00BE582B">
            <w:pPr>
              <w:pBdr>
                <w:top w:val="nil"/>
                <w:left w:val="nil"/>
                <w:bottom w:val="nil"/>
                <w:right w:val="nil"/>
                <w:between w:val="nil"/>
              </w:pBdr>
              <w:spacing w:line="267" w:lineRule="auto"/>
              <w:ind w:left="107"/>
              <w:rPr>
                <w:rFonts w:ascii="Century Gothic" w:hAnsi="Century Gothic"/>
                <w:color w:val="000000"/>
                <w:sz w:val="24"/>
                <w:szCs w:val="24"/>
              </w:rPr>
            </w:pPr>
            <w:r w:rsidRPr="00E47460">
              <w:rPr>
                <w:rFonts w:ascii="Century Gothic" w:hAnsi="Century Gothic"/>
                <w:color w:val="000000"/>
                <w:sz w:val="24"/>
                <w:szCs w:val="24"/>
              </w:rPr>
              <w:t>Veinte por ciento (20%) del total de las nominaciones</w:t>
            </w:r>
          </w:p>
        </w:tc>
      </w:tr>
    </w:tbl>
    <w:p w14:paraId="32398637" w14:textId="77777777" w:rsidR="00096E92" w:rsidRPr="00E47460" w:rsidRDefault="00096E92">
      <w:pPr>
        <w:pBdr>
          <w:top w:val="nil"/>
          <w:left w:val="nil"/>
          <w:bottom w:val="nil"/>
          <w:right w:val="nil"/>
          <w:between w:val="nil"/>
        </w:pBdr>
        <w:spacing w:before="6"/>
        <w:rPr>
          <w:rFonts w:ascii="Century Gothic" w:eastAsia="Tahoma" w:hAnsi="Century Gothic" w:cs="Tahoma"/>
          <w:b/>
          <w:color w:val="000000"/>
          <w:sz w:val="24"/>
          <w:szCs w:val="24"/>
        </w:rPr>
      </w:pPr>
    </w:p>
    <w:p w14:paraId="63DEBB07" w14:textId="77777777" w:rsidR="00096E92" w:rsidRPr="00E47460" w:rsidRDefault="00BE582B" w:rsidP="003865F1">
      <w:pPr>
        <w:spacing w:line="276" w:lineRule="auto"/>
        <w:ind w:right="-41"/>
        <w:jc w:val="both"/>
        <w:rPr>
          <w:rFonts w:ascii="Century Gothic" w:hAnsi="Century Gothic"/>
          <w:sz w:val="24"/>
          <w:szCs w:val="24"/>
        </w:rPr>
      </w:pPr>
      <w:r w:rsidRPr="00E47460">
        <w:rPr>
          <w:rFonts w:ascii="Century Gothic" w:eastAsia="Tahoma" w:hAnsi="Century Gothic" w:cs="Tahoma"/>
          <w:b/>
          <w:sz w:val="24"/>
          <w:szCs w:val="24"/>
        </w:rPr>
        <w:t xml:space="preserve">TERCERO. Reservas de las candidaturas del nivel presidencial. </w:t>
      </w:r>
      <w:r w:rsidRPr="00E47460">
        <w:rPr>
          <w:rFonts w:ascii="Century Gothic" w:hAnsi="Century Gothic"/>
          <w:sz w:val="24"/>
          <w:szCs w:val="24"/>
        </w:rPr>
        <w:t>Los partidos políticos podrán reservarse la candidatura presidencial y vicepresidencial con miras a la concertación de alianzas de conformidad con lo dispuesto por la ley.</w:t>
      </w:r>
    </w:p>
    <w:p w14:paraId="72B9ED95" w14:textId="77777777" w:rsidR="00096E92" w:rsidRPr="00E47460" w:rsidRDefault="00096E92" w:rsidP="003865F1">
      <w:pPr>
        <w:pBdr>
          <w:top w:val="nil"/>
          <w:left w:val="nil"/>
          <w:bottom w:val="nil"/>
          <w:right w:val="nil"/>
          <w:between w:val="nil"/>
        </w:pBdr>
        <w:spacing w:before="3" w:line="276" w:lineRule="auto"/>
        <w:rPr>
          <w:rFonts w:ascii="Century Gothic" w:hAnsi="Century Gothic"/>
          <w:color w:val="000000"/>
          <w:sz w:val="24"/>
          <w:szCs w:val="24"/>
        </w:rPr>
      </w:pPr>
    </w:p>
    <w:p w14:paraId="61DC5880"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CUARTO: Plazos para la definición y depósito de las reservas de candidaturas</w:t>
      </w:r>
      <w:r w:rsidRPr="00E47460">
        <w:rPr>
          <w:rFonts w:ascii="Century Gothic" w:hAnsi="Century Gothic"/>
          <w:color w:val="000000"/>
          <w:sz w:val="24"/>
          <w:szCs w:val="24"/>
        </w:rPr>
        <w:t>. Las reservas de candidaturas deberán ser definidas internamente por las organizaciones políticas</w:t>
      </w:r>
      <w:r w:rsidR="00154BBE">
        <w:rPr>
          <w:rFonts w:ascii="Century Gothic" w:hAnsi="Century Gothic"/>
          <w:color w:val="000000"/>
          <w:sz w:val="24"/>
          <w:szCs w:val="24"/>
        </w:rPr>
        <w:t xml:space="preserve"> </w:t>
      </w:r>
      <w:r w:rsidR="00154BBE" w:rsidRPr="00302A62">
        <w:rPr>
          <w:rFonts w:ascii="Century Gothic" w:hAnsi="Century Gothic"/>
          <w:color w:val="000000"/>
          <w:sz w:val="24"/>
          <w:szCs w:val="24"/>
        </w:rPr>
        <w:t>reconocidas</w:t>
      </w:r>
      <w:r w:rsidRPr="00302A62">
        <w:rPr>
          <w:rFonts w:ascii="Century Gothic" w:hAnsi="Century Gothic"/>
          <w:color w:val="000000"/>
          <w:sz w:val="24"/>
          <w:szCs w:val="24"/>
        </w:rPr>
        <w:t>,</w:t>
      </w:r>
      <w:r w:rsidRPr="00E47460">
        <w:rPr>
          <w:rFonts w:ascii="Century Gothic" w:hAnsi="Century Gothic"/>
          <w:color w:val="000000"/>
          <w:sz w:val="24"/>
          <w:szCs w:val="24"/>
        </w:rPr>
        <w:t xml:space="preserve"> por lo menos treinta (30) días antes del inicio de la precampaña, es decir, a más tardar el 2 de junio de 2023 y presentadas mediante escrito a la Junta Central Electoral a más tardar el 17 de junio de 2023,</w:t>
      </w:r>
      <w:r w:rsidR="0017656C" w:rsidRPr="00E47460">
        <w:rPr>
          <w:rFonts w:ascii="Century Gothic" w:hAnsi="Century Gothic"/>
          <w:color w:val="000000"/>
          <w:sz w:val="24"/>
          <w:szCs w:val="24"/>
        </w:rPr>
        <w:t xml:space="preserve"> </w:t>
      </w:r>
      <w:r w:rsidRPr="00E47460">
        <w:rPr>
          <w:rFonts w:ascii="Century Gothic" w:hAnsi="Century Gothic"/>
          <w:color w:val="000000"/>
          <w:sz w:val="24"/>
          <w:szCs w:val="24"/>
        </w:rPr>
        <w:t>o sea, quince (15) días antes de la apertura de la precampaña electoral. Ambos plazos se aplican por igual a las organizaciones políti</w:t>
      </w:r>
      <w:r w:rsidRPr="00302A62">
        <w:rPr>
          <w:rFonts w:ascii="Century Gothic" w:hAnsi="Century Gothic"/>
          <w:color w:val="000000"/>
          <w:sz w:val="24"/>
          <w:szCs w:val="24"/>
        </w:rPr>
        <w:t>cas</w:t>
      </w:r>
      <w:r w:rsidR="00154BBE" w:rsidRPr="00302A62">
        <w:rPr>
          <w:rFonts w:ascii="Century Gothic" w:hAnsi="Century Gothic"/>
          <w:color w:val="000000"/>
          <w:sz w:val="24"/>
          <w:szCs w:val="24"/>
        </w:rPr>
        <w:t xml:space="preserve"> reconocidas</w:t>
      </w:r>
      <w:r w:rsidRPr="00302A62">
        <w:rPr>
          <w:rFonts w:ascii="Century Gothic" w:hAnsi="Century Gothic"/>
          <w:color w:val="000000"/>
          <w:sz w:val="24"/>
          <w:szCs w:val="24"/>
        </w:rPr>
        <w:t xml:space="preserve"> indistintamente</w:t>
      </w:r>
      <w:r w:rsidRPr="00E47460">
        <w:rPr>
          <w:rFonts w:ascii="Century Gothic" w:hAnsi="Century Gothic"/>
          <w:color w:val="000000"/>
          <w:sz w:val="24"/>
          <w:szCs w:val="24"/>
        </w:rPr>
        <w:t xml:space="preserve"> del método que escojan para la selección de sus candidatos.</w:t>
      </w:r>
    </w:p>
    <w:p w14:paraId="5D3C0B94" w14:textId="77777777" w:rsidR="00096E92" w:rsidRPr="00E47460" w:rsidRDefault="00096E92" w:rsidP="003865F1">
      <w:pPr>
        <w:pBdr>
          <w:top w:val="nil"/>
          <w:left w:val="nil"/>
          <w:bottom w:val="nil"/>
          <w:right w:val="nil"/>
          <w:between w:val="nil"/>
        </w:pBdr>
        <w:spacing w:before="1" w:line="276" w:lineRule="auto"/>
        <w:rPr>
          <w:rFonts w:ascii="Century Gothic" w:hAnsi="Century Gothic"/>
          <w:color w:val="000000"/>
          <w:sz w:val="24"/>
          <w:szCs w:val="24"/>
        </w:rPr>
      </w:pPr>
    </w:p>
    <w:p w14:paraId="639507E0"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QUINTO: </w:t>
      </w:r>
      <w:r w:rsidRPr="00E47460">
        <w:rPr>
          <w:rFonts w:ascii="Century Gothic" w:hAnsi="Century Gothic"/>
          <w:color w:val="000000"/>
          <w:sz w:val="24"/>
          <w:szCs w:val="24"/>
        </w:rPr>
        <w:t xml:space="preserve">Todos los demás aspectos relativos a las reservas de candidaturas se encuentran contenidos en la Ley No. 33-18 de Partidos, Agrupaciones y Movimientos políticos y, por consiguiente, deberán ser observados y cumplidos por las organizaciones </w:t>
      </w:r>
      <w:r w:rsidR="00302A62" w:rsidRPr="00E47460">
        <w:rPr>
          <w:rFonts w:ascii="Century Gothic" w:hAnsi="Century Gothic"/>
          <w:color w:val="000000"/>
          <w:sz w:val="24"/>
          <w:szCs w:val="24"/>
        </w:rPr>
        <w:t>política</w:t>
      </w:r>
      <w:r w:rsidR="00302A62">
        <w:rPr>
          <w:rFonts w:ascii="Century Gothic" w:hAnsi="Century Gothic"/>
          <w:color w:val="000000"/>
          <w:sz w:val="24"/>
          <w:szCs w:val="24"/>
        </w:rPr>
        <w:t xml:space="preserve">s </w:t>
      </w:r>
      <w:r w:rsidR="00302A62" w:rsidRPr="00302A62">
        <w:rPr>
          <w:rFonts w:ascii="Century Gothic" w:hAnsi="Century Gothic"/>
          <w:color w:val="000000"/>
          <w:sz w:val="24"/>
          <w:szCs w:val="24"/>
        </w:rPr>
        <w:t>reconocidas</w:t>
      </w:r>
      <w:r w:rsidR="00302A62">
        <w:rPr>
          <w:rFonts w:ascii="Century Gothic" w:hAnsi="Century Gothic"/>
          <w:color w:val="000000"/>
          <w:sz w:val="24"/>
          <w:szCs w:val="24"/>
        </w:rPr>
        <w:t xml:space="preserve"> </w:t>
      </w:r>
      <w:r w:rsidR="00302A62" w:rsidRPr="00E47460">
        <w:rPr>
          <w:rFonts w:ascii="Century Gothic" w:hAnsi="Century Gothic"/>
          <w:color w:val="000000"/>
          <w:sz w:val="24"/>
          <w:szCs w:val="24"/>
        </w:rPr>
        <w:t>al</w:t>
      </w:r>
      <w:r w:rsidRPr="00E47460">
        <w:rPr>
          <w:rFonts w:ascii="Century Gothic" w:hAnsi="Century Gothic"/>
          <w:color w:val="000000"/>
          <w:sz w:val="24"/>
          <w:szCs w:val="24"/>
        </w:rPr>
        <w:t xml:space="preserve"> momento de realizar las indicadas reservas en el porcentaje que establece la ley y en la forma que se indica en la presente resolución.</w:t>
      </w:r>
    </w:p>
    <w:p w14:paraId="675C17C8" w14:textId="77777777" w:rsidR="00096E92" w:rsidRPr="00E47460" w:rsidRDefault="00096E92" w:rsidP="003865F1">
      <w:pPr>
        <w:pBdr>
          <w:top w:val="nil"/>
          <w:left w:val="nil"/>
          <w:bottom w:val="nil"/>
          <w:right w:val="nil"/>
          <w:between w:val="nil"/>
        </w:pBdr>
        <w:spacing w:before="3" w:line="276" w:lineRule="auto"/>
        <w:rPr>
          <w:rFonts w:ascii="Century Gothic" w:hAnsi="Century Gothic"/>
          <w:color w:val="000000"/>
          <w:sz w:val="24"/>
          <w:szCs w:val="24"/>
        </w:rPr>
      </w:pPr>
    </w:p>
    <w:p w14:paraId="530933B7" w14:textId="77777777" w:rsidR="00096E92" w:rsidRPr="00E47460" w:rsidRDefault="00BE582B" w:rsidP="003865F1">
      <w:pPr>
        <w:pBdr>
          <w:top w:val="nil"/>
          <w:left w:val="nil"/>
          <w:bottom w:val="nil"/>
          <w:right w:val="nil"/>
          <w:between w:val="nil"/>
        </w:pBdr>
        <w:spacing w:line="276" w:lineRule="auto"/>
        <w:ind w:right="-41"/>
        <w:jc w:val="both"/>
        <w:rPr>
          <w:rFonts w:ascii="Century Gothic" w:hAnsi="Century Gothic"/>
          <w:color w:val="000000"/>
          <w:sz w:val="24"/>
          <w:szCs w:val="24"/>
        </w:rPr>
      </w:pPr>
      <w:r w:rsidRPr="00E47460">
        <w:rPr>
          <w:rFonts w:ascii="Century Gothic" w:eastAsia="Tahoma" w:hAnsi="Century Gothic" w:cs="Tahoma"/>
          <w:b/>
          <w:color w:val="000000"/>
          <w:sz w:val="24"/>
          <w:szCs w:val="24"/>
        </w:rPr>
        <w:t xml:space="preserve">SEXTO: Ordena </w:t>
      </w:r>
      <w:r w:rsidRPr="00E47460">
        <w:rPr>
          <w:rFonts w:ascii="Century Gothic" w:hAnsi="Century Gothic"/>
          <w:color w:val="000000"/>
          <w:sz w:val="24"/>
          <w:szCs w:val="24"/>
        </w:rPr>
        <w:t>que la presente resolución sea colocada en la tablilla de publicaciones y en la página web de la Junta Central Electoral; publicada en los medios de comunicación, y notificada a los partidos, agrupaciones y movimientos políticos, de conformidad con las previsiones legales, así también, que sea remitida a las Juntas Electorales.</w:t>
      </w:r>
    </w:p>
    <w:p w14:paraId="2311C814" w14:textId="77777777" w:rsidR="00096E92" w:rsidRPr="00E47460" w:rsidRDefault="00096E92">
      <w:pPr>
        <w:pBdr>
          <w:top w:val="nil"/>
          <w:left w:val="nil"/>
          <w:bottom w:val="nil"/>
          <w:right w:val="nil"/>
          <w:between w:val="nil"/>
        </w:pBdr>
        <w:spacing w:before="12"/>
        <w:rPr>
          <w:rFonts w:ascii="Century Gothic" w:hAnsi="Century Gothic"/>
          <w:color w:val="000000"/>
          <w:sz w:val="24"/>
          <w:szCs w:val="24"/>
        </w:rPr>
      </w:pPr>
    </w:p>
    <w:p w14:paraId="7C355D83" w14:textId="77777777" w:rsidR="00096E92" w:rsidRPr="00E47460" w:rsidRDefault="00BE582B" w:rsidP="003865F1">
      <w:pPr>
        <w:pBdr>
          <w:top w:val="nil"/>
          <w:left w:val="nil"/>
          <w:bottom w:val="nil"/>
          <w:right w:val="nil"/>
          <w:between w:val="nil"/>
        </w:pBdr>
        <w:tabs>
          <w:tab w:val="left" w:pos="5854"/>
        </w:tabs>
        <w:spacing w:line="242" w:lineRule="auto"/>
        <w:ind w:right="-41"/>
        <w:jc w:val="both"/>
        <w:rPr>
          <w:rFonts w:ascii="Century Gothic" w:hAnsi="Century Gothic"/>
          <w:color w:val="000000"/>
          <w:sz w:val="24"/>
          <w:szCs w:val="24"/>
        </w:rPr>
      </w:pPr>
      <w:r w:rsidRPr="00E47460">
        <w:rPr>
          <w:rFonts w:ascii="Century Gothic" w:hAnsi="Century Gothic"/>
          <w:color w:val="000000"/>
          <w:sz w:val="24"/>
          <w:szCs w:val="24"/>
        </w:rPr>
        <w:t xml:space="preserve">En el </w:t>
      </w:r>
      <w:r w:rsidR="00B81157" w:rsidRPr="00E47460">
        <w:rPr>
          <w:rFonts w:ascii="Century Gothic" w:hAnsi="Century Gothic"/>
          <w:color w:val="000000"/>
          <w:sz w:val="24"/>
          <w:szCs w:val="24"/>
        </w:rPr>
        <w:t>m</w:t>
      </w:r>
      <w:r w:rsidRPr="00E47460">
        <w:rPr>
          <w:rFonts w:ascii="Century Gothic" w:hAnsi="Century Gothic"/>
          <w:color w:val="000000"/>
          <w:sz w:val="24"/>
          <w:szCs w:val="24"/>
        </w:rPr>
        <w:t xml:space="preserve">unicipio Santo Domingo Oeste, </w:t>
      </w:r>
      <w:r w:rsidR="00B81157" w:rsidRPr="00E47460">
        <w:rPr>
          <w:rFonts w:ascii="Century Gothic" w:hAnsi="Century Gothic"/>
          <w:color w:val="000000"/>
          <w:sz w:val="24"/>
          <w:szCs w:val="24"/>
        </w:rPr>
        <w:t>p</w:t>
      </w:r>
      <w:r w:rsidRPr="00E47460">
        <w:rPr>
          <w:rFonts w:ascii="Century Gothic" w:hAnsi="Century Gothic"/>
          <w:color w:val="000000"/>
          <w:sz w:val="24"/>
          <w:szCs w:val="24"/>
        </w:rPr>
        <w:t>rovincia Santo Domingo, República Dominicana, a los ( ) días del mes de</w:t>
      </w:r>
      <w:r w:rsidRPr="00E47460">
        <w:rPr>
          <w:rFonts w:ascii="Century Gothic" w:hAnsi="Century Gothic"/>
          <w:color w:val="000000"/>
          <w:sz w:val="24"/>
          <w:szCs w:val="24"/>
          <w:u w:val="single"/>
        </w:rPr>
        <w:tab/>
      </w:r>
      <w:r w:rsidRPr="00E47460">
        <w:rPr>
          <w:rFonts w:ascii="Century Gothic" w:hAnsi="Century Gothic"/>
          <w:color w:val="000000"/>
          <w:sz w:val="24"/>
          <w:szCs w:val="24"/>
        </w:rPr>
        <w:t>del año dos mil veintitrés (2023).</w:t>
      </w:r>
    </w:p>
    <w:p w14:paraId="265157EA" w14:textId="77777777" w:rsidR="00096E92" w:rsidRPr="00E47460" w:rsidRDefault="00096E92">
      <w:pPr>
        <w:pBdr>
          <w:top w:val="nil"/>
          <w:left w:val="nil"/>
          <w:bottom w:val="nil"/>
          <w:right w:val="nil"/>
          <w:between w:val="nil"/>
        </w:pBdr>
        <w:rPr>
          <w:rFonts w:ascii="Century Gothic" w:hAnsi="Century Gothic"/>
          <w:color w:val="000000"/>
          <w:sz w:val="24"/>
          <w:szCs w:val="24"/>
        </w:rPr>
      </w:pPr>
    </w:p>
    <w:p w14:paraId="19A66016" w14:textId="77777777" w:rsidR="00096E92" w:rsidRPr="00E47460" w:rsidRDefault="00BE582B">
      <w:pPr>
        <w:spacing w:before="200"/>
        <w:ind w:right="135"/>
        <w:jc w:val="center"/>
        <w:rPr>
          <w:rFonts w:ascii="Century Gothic" w:eastAsia="Tahoma" w:hAnsi="Century Gothic" w:cs="Tahoma"/>
          <w:b/>
          <w:sz w:val="24"/>
          <w:szCs w:val="24"/>
        </w:rPr>
      </w:pPr>
      <w:r w:rsidRPr="00E47460">
        <w:rPr>
          <w:rFonts w:ascii="Century Gothic" w:eastAsia="Tahoma" w:hAnsi="Century Gothic" w:cs="Tahoma"/>
          <w:b/>
          <w:sz w:val="24"/>
          <w:szCs w:val="24"/>
        </w:rPr>
        <w:t>Román Andrés Jáquez Liranzo</w:t>
      </w:r>
    </w:p>
    <w:p w14:paraId="1EC0E8B0" w14:textId="77777777" w:rsidR="00096E92" w:rsidRPr="00E47460" w:rsidRDefault="00BE582B">
      <w:pPr>
        <w:spacing w:before="2"/>
        <w:ind w:right="135"/>
        <w:jc w:val="center"/>
        <w:rPr>
          <w:rFonts w:ascii="Century Gothic" w:hAnsi="Century Gothic"/>
          <w:sz w:val="24"/>
          <w:szCs w:val="24"/>
        </w:rPr>
      </w:pPr>
      <w:r w:rsidRPr="00E47460">
        <w:rPr>
          <w:rFonts w:ascii="Century Gothic" w:hAnsi="Century Gothic"/>
          <w:sz w:val="24"/>
          <w:szCs w:val="24"/>
        </w:rPr>
        <w:t>Presidente</w:t>
      </w:r>
    </w:p>
    <w:p w14:paraId="69AB605B" w14:textId="77777777" w:rsidR="00096E92" w:rsidRPr="001B0F6F" w:rsidRDefault="00096E92">
      <w:pPr>
        <w:pBdr>
          <w:top w:val="nil"/>
          <w:left w:val="nil"/>
          <w:bottom w:val="nil"/>
          <w:right w:val="nil"/>
          <w:between w:val="nil"/>
        </w:pBdr>
        <w:rPr>
          <w:rFonts w:ascii="Century Gothic" w:hAnsi="Century Gothic"/>
          <w:color w:val="000000"/>
          <w:sz w:val="8"/>
          <w:szCs w:val="24"/>
        </w:rPr>
      </w:pPr>
    </w:p>
    <w:p w14:paraId="6E9C7AA4" w14:textId="77777777" w:rsidR="00096E92" w:rsidRPr="00E47460" w:rsidRDefault="00BE582B">
      <w:pPr>
        <w:tabs>
          <w:tab w:val="left" w:pos="5016"/>
        </w:tabs>
        <w:spacing w:before="214"/>
        <w:ind w:left="120"/>
        <w:jc w:val="both"/>
        <w:rPr>
          <w:rFonts w:ascii="Century Gothic" w:eastAsia="Tahoma" w:hAnsi="Century Gothic" w:cs="Tahoma"/>
          <w:b/>
          <w:sz w:val="24"/>
          <w:szCs w:val="24"/>
        </w:rPr>
      </w:pPr>
      <w:r w:rsidRPr="00E47460">
        <w:rPr>
          <w:rFonts w:ascii="Century Gothic" w:eastAsia="Tahoma" w:hAnsi="Century Gothic" w:cs="Tahoma"/>
          <w:b/>
          <w:sz w:val="24"/>
          <w:szCs w:val="24"/>
        </w:rPr>
        <w:t>Rafael Armando Vallejo Santelises</w:t>
      </w:r>
      <w:r w:rsidRPr="00E47460">
        <w:rPr>
          <w:rFonts w:ascii="Century Gothic" w:eastAsia="Tahoma" w:hAnsi="Century Gothic" w:cs="Tahoma"/>
          <w:b/>
          <w:sz w:val="24"/>
          <w:szCs w:val="24"/>
        </w:rPr>
        <w:tab/>
        <w:t>Dolores Altagracia Fernández Sánchez</w:t>
      </w:r>
    </w:p>
    <w:p w14:paraId="0419E1E3" w14:textId="77777777" w:rsidR="00096E92" w:rsidRPr="00E47460" w:rsidRDefault="00BE582B">
      <w:pPr>
        <w:tabs>
          <w:tab w:val="left" w:pos="6226"/>
        </w:tabs>
        <w:spacing w:before="5"/>
        <w:ind w:left="1078"/>
        <w:rPr>
          <w:rFonts w:ascii="Century Gothic" w:hAnsi="Century Gothic"/>
          <w:sz w:val="24"/>
          <w:szCs w:val="24"/>
        </w:rPr>
      </w:pPr>
      <w:r w:rsidRPr="00E47460">
        <w:rPr>
          <w:rFonts w:ascii="Century Gothic" w:hAnsi="Century Gothic"/>
          <w:sz w:val="24"/>
          <w:szCs w:val="24"/>
        </w:rPr>
        <w:t>Miembro Titular</w:t>
      </w:r>
      <w:r w:rsidRPr="00E47460">
        <w:rPr>
          <w:rFonts w:ascii="Century Gothic" w:hAnsi="Century Gothic"/>
          <w:sz w:val="24"/>
          <w:szCs w:val="24"/>
        </w:rPr>
        <w:tab/>
        <w:t>Miembro Titular</w:t>
      </w:r>
    </w:p>
    <w:p w14:paraId="6FFB8220" w14:textId="77777777" w:rsidR="00096E92" w:rsidRPr="001B0F6F" w:rsidRDefault="00096E92">
      <w:pPr>
        <w:pBdr>
          <w:top w:val="nil"/>
          <w:left w:val="nil"/>
          <w:bottom w:val="nil"/>
          <w:right w:val="nil"/>
          <w:between w:val="nil"/>
        </w:pBdr>
        <w:rPr>
          <w:rFonts w:ascii="Century Gothic" w:hAnsi="Century Gothic"/>
          <w:color w:val="000000"/>
          <w:sz w:val="18"/>
          <w:szCs w:val="24"/>
        </w:rPr>
      </w:pPr>
    </w:p>
    <w:p w14:paraId="1EBBFC77" w14:textId="77777777" w:rsidR="00096E92" w:rsidRPr="001B0F6F" w:rsidRDefault="00096E92">
      <w:pPr>
        <w:pBdr>
          <w:top w:val="nil"/>
          <w:left w:val="nil"/>
          <w:bottom w:val="nil"/>
          <w:right w:val="nil"/>
          <w:between w:val="nil"/>
        </w:pBdr>
        <w:spacing w:before="10"/>
        <w:rPr>
          <w:rFonts w:ascii="Century Gothic" w:hAnsi="Century Gothic"/>
          <w:color w:val="000000"/>
          <w:sz w:val="18"/>
          <w:szCs w:val="24"/>
        </w:rPr>
      </w:pPr>
    </w:p>
    <w:p w14:paraId="2CD11801" w14:textId="77777777" w:rsidR="00096E92" w:rsidRPr="00E47460" w:rsidRDefault="00BE582B">
      <w:pPr>
        <w:tabs>
          <w:tab w:val="left" w:pos="5799"/>
        </w:tabs>
        <w:ind w:left="120"/>
        <w:jc w:val="both"/>
        <w:rPr>
          <w:rFonts w:ascii="Century Gothic" w:eastAsia="Tahoma" w:hAnsi="Century Gothic" w:cs="Tahoma"/>
          <w:b/>
          <w:sz w:val="24"/>
          <w:szCs w:val="24"/>
        </w:rPr>
      </w:pPr>
      <w:r w:rsidRPr="00E47460">
        <w:rPr>
          <w:rFonts w:ascii="Century Gothic" w:eastAsia="Tahoma" w:hAnsi="Century Gothic" w:cs="Tahoma"/>
          <w:b/>
          <w:sz w:val="24"/>
          <w:szCs w:val="24"/>
        </w:rPr>
        <w:t>Patricia Lorenzo Paniagua</w:t>
      </w:r>
      <w:r w:rsidRPr="00E47460">
        <w:rPr>
          <w:rFonts w:ascii="Century Gothic" w:eastAsia="Tahoma" w:hAnsi="Century Gothic" w:cs="Tahoma"/>
          <w:b/>
          <w:sz w:val="24"/>
          <w:szCs w:val="24"/>
        </w:rPr>
        <w:tab/>
        <w:t>Samir Rafael Chami Isa</w:t>
      </w:r>
    </w:p>
    <w:p w14:paraId="6C92AFBC" w14:textId="77777777" w:rsidR="00096E92" w:rsidRPr="00E47460" w:rsidRDefault="00BE582B">
      <w:pPr>
        <w:tabs>
          <w:tab w:val="left" w:pos="6118"/>
        </w:tabs>
        <w:spacing w:before="2"/>
        <w:ind w:left="840"/>
        <w:rPr>
          <w:rFonts w:ascii="Century Gothic" w:hAnsi="Century Gothic"/>
          <w:sz w:val="24"/>
          <w:szCs w:val="24"/>
        </w:rPr>
      </w:pPr>
      <w:r w:rsidRPr="00E47460">
        <w:rPr>
          <w:rFonts w:ascii="Century Gothic" w:hAnsi="Century Gothic"/>
          <w:sz w:val="24"/>
          <w:szCs w:val="24"/>
        </w:rPr>
        <w:t>Miembro Titular</w:t>
      </w:r>
      <w:r w:rsidRPr="00E47460">
        <w:rPr>
          <w:rFonts w:ascii="Century Gothic" w:hAnsi="Century Gothic"/>
          <w:sz w:val="24"/>
          <w:szCs w:val="24"/>
        </w:rPr>
        <w:tab/>
        <w:t>Miembro Titular</w:t>
      </w:r>
    </w:p>
    <w:p w14:paraId="526CA32D" w14:textId="77777777" w:rsidR="00096E92" w:rsidRPr="00E47460" w:rsidRDefault="00BE582B">
      <w:pPr>
        <w:ind w:right="137"/>
        <w:jc w:val="center"/>
        <w:rPr>
          <w:rFonts w:ascii="Century Gothic" w:eastAsia="Tahoma" w:hAnsi="Century Gothic" w:cs="Tahoma"/>
          <w:b/>
          <w:sz w:val="24"/>
          <w:szCs w:val="24"/>
        </w:rPr>
      </w:pPr>
      <w:r w:rsidRPr="00E47460">
        <w:rPr>
          <w:rFonts w:ascii="Century Gothic" w:eastAsia="Tahoma" w:hAnsi="Century Gothic" w:cs="Tahoma"/>
          <w:b/>
          <w:sz w:val="24"/>
          <w:szCs w:val="24"/>
        </w:rPr>
        <w:t>Sonne Beltré Ramírez</w:t>
      </w:r>
    </w:p>
    <w:p w14:paraId="2CBCD422" w14:textId="77777777" w:rsidR="00096E92" w:rsidRPr="00E47460" w:rsidRDefault="00BE582B">
      <w:pPr>
        <w:spacing w:before="2"/>
        <w:ind w:right="133"/>
        <w:jc w:val="center"/>
        <w:rPr>
          <w:rFonts w:ascii="Century Gothic" w:hAnsi="Century Gothic"/>
          <w:sz w:val="24"/>
          <w:szCs w:val="24"/>
        </w:rPr>
      </w:pPr>
      <w:r w:rsidRPr="00E47460">
        <w:rPr>
          <w:rFonts w:ascii="Century Gothic" w:hAnsi="Century Gothic"/>
          <w:sz w:val="24"/>
          <w:szCs w:val="24"/>
        </w:rPr>
        <w:t>Secretario General</w:t>
      </w:r>
    </w:p>
    <w:sectPr w:rsidR="00096E92" w:rsidRPr="00E47460">
      <w:headerReference w:type="default" r:id="rId7"/>
      <w:footerReference w:type="default" r:id="rId8"/>
      <w:pgSz w:w="12240" w:h="20160"/>
      <w:pgMar w:top="2520" w:right="1180" w:bottom="2300" w:left="1320" w:header="755"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CE21" w14:textId="77777777" w:rsidR="00844E13" w:rsidRDefault="00844E13">
      <w:r>
        <w:separator/>
      </w:r>
    </w:p>
  </w:endnote>
  <w:endnote w:type="continuationSeparator" w:id="0">
    <w:p w14:paraId="7F3CD044" w14:textId="77777777" w:rsidR="00844E13" w:rsidRDefault="0084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6E0B" w14:textId="77777777" w:rsidR="00096E92" w:rsidRDefault="00120AF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allowOverlap="1" wp14:anchorId="7BD96645" wp14:editId="5E35717B">
              <wp:simplePos x="0" y="0"/>
              <wp:positionH relativeFrom="margin">
                <wp:posOffset>63500</wp:posOffset>
              </wp:positionH>
              <wp:positionV relativeFrom="paragraph">
                <wp:posOffset>0</wp:posOffset>
              </wp:positionV>
              <wp:extent cx="6009640" cy="588645"/>
              <wp:effectExtent l="0" t="0" r="381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9A01" w14:textId="77777777" w:rsidR="00691783" w:rsidRPr="001B0F6F" w:rsidRDefault="00302A62" w:rsidP="00691783">
                          <w:pPr>
                            <w:jc w:val="both"/>
                            <w:rPr>
                              <w:rFonts w:ascii="Century Gothic" w:hAnsi="Century Gothic"/>
                              <w:b/>
                              <w:bCs/>
                              <w:sz w:val="14"/>
                              <w:szCs w:val="16"/>
                              <w:lang w:val="es-DO"/>
                            </w:rPr>
                          </w:pPr>
                          <w:bookmarkStart w:id="1" w:name="_Hlk133998226"/>
                          <w:r w:rsidRPr="001B0F6F">
                            <w:rPr>
                              <w:rFonts w:ascii="Century Gothic" w:hAnsi="Century Gothic"/>
                              <w:b/>
                              <w:bCs/>
                              <w:sz w:val="14"/>
                              <w:szCs w:val="16"/>
                            </w:rPr>
                            <w:t xml:space="preserve">BORRADOR DE RESOLUCIÓN No. </w:t>
                          </w:r>
                          <w:r w:rsidRPr="001B0F6F">
                            <w:rPr>
                              <w:rFonts w:ascii="Century Gothic" w:hAnsi="Century Gothic"/>
                              <w:b/>
                              <w:bCs/>
                              <w:sz w:val="14"/>
                              <w:szCs w:val="16"/>
                              <w:highlight w:val="yellow"/>
                            </w:rPr>
                            <w:t>xx-</w:t>
                          </w:r>
                          <w:r w:rsidRPr="001B0F6F">
                            <w:rPr>
                              <w:rFonts w:ascii="Century Gothic" w:hAnsi="Century Gothic"/>
                              <w:b/>
                              <w:bCs/>
                              <w:sz w:val="14"/>
                              <w:szCs w:val="16"/>
                            </w:rPr>
                            <w:t>2023</w:t>
                          </w:r>
                          <w:r w:rsidRPr="001B0F6F">
                            <w:rPr>
                              <w:rFonts w:ascii="Century Gothic" w:hAnsi="Century Gothic"/>
                              <w:b/>
                              <w:bCs/>
                              <w:sz w:val="14"/>
                              <w:szCs w:val="16"/>
                              <w:lang w:val="es-DO"/>
                            </w:rPr>
                            <w:t>, SOBRE LA APLICACIÓN</w:t>
                          </w:r>
                          <w:r w:rsidR="00691783" w:rsidRPr="001B0F6F">
                            <w:rPr>
                              <w:rFonts w:ascii="Century Gothic" w:hAnsi="Century Gothic"/>
                              <w:b/>
                              <w:bCs/>
                              <w:sz w:val="14"/>
                              <w:szCs w:val="16"/>
                              <w:lang w:val="es-DO"/>
                            </w:rPr>
                            <w:t xml:space="preserve">   DEL   </w:t>
                          </w:r>
                          <w:r w:rsidRPr="001B0F6F">
                            <w:rPr>
                              <w:rFonts w:ascii="Century Gothic" w:hAnsi="Century Gothic"/>
                              <w:b/>
                              <w:bCs/>
                              <w:sz w:val="14"/>
                              <w:szCs w:val="16"/>
                              <w:lang w:val="es-DO"/>
                            </w:rPr>
                            <w:t>PORCENTAJE DE</w:t>
                          </w:r>
                          <w:r w:rsidR="00691783" w:rsidRPr="001B0F6F">
                            <w:rPr>
                              <w:rFonts w:ascii="Century Gothic" w:hAnsi="Century Gothic"/>
                              <w:b/>
                              <w:bCs/>
                              <w:sz w:val="14"/>
                              <w:szCs w:val="16"/>
                              <w:lang w:val="es-DO"/>
                            </w:rPr>
                            <w:t xml:space="preserve">   LAS   RESERVAS   DE   LAS CANDIDATURAS QUE ESTABLECE LA LEY No. 33-18 DE PARTIDOS, AGRUPACIONES </w:t>
                          </w:r>
                          <w:r w:rsidRPr="001B0F6F">
                            <w:rPr>
                              <w:rFonts w:ascii="Century Gothic" w:hAnsi="Century Gothic"/>
                              <w:b/>
                              <w:bCs/>
                              <w:sz w:val="14"/>
                              <w:szCs w:val="16"/>
                              <w:lang w:val="es-DO"/>
                            </w:rPr>
                            <w:t>Y MOVIMIENTOS POLÍTICOS</w:t>
                          </w:r>
                          <w:r w:rsidR="00691783" w:rsidRPr="001B0F6F">
                            <w:rPr>
                              <w:rFonts w:ascii="Century Gothic" w:hAnsi="Century Gothic"/>
                              <w:b/>
                              <w:bCs/>
                              <w:sz w:val="14"/>
                              <w:szCs w:val="16"/>
                              <w:lang w:val="es-DO"/>
                            </w:rPr>
                            <w:t xml:space="preserve"> PARA LAS ELECCIONES GENERALES ORDINARIAS DE 2024.</w:t>
                          </w:r>
                        </w:p>
                        <w:bookmarkEnd w:id="1"/>
                        <w:p w14:paraId="7A70071B" w14:textId="77777777" w:rsidR="00F0426F" w:rsidRPr="001B0F6F" w:rsidRDefault="00BE582B">
                          <w:pPr>
                            <w:ind w:right="81"/>
                            <w:jc w:val="right"/>
                            <w:rPr>
                              <w:sz w:val="14"/>
                            </w:rPr>
                          </w:pPr>
                          <w:r w:rsidRPr="001B0F6F">
                            <w:rPr>
                              <w:sz w:val="14"/>
                            </w:rPr>
                            <w:t>Página</w:t>
                          </w:r>
                          <w:r w:rsidRPr="001B0F6F">
                            <w:rPr>
                              <w:spacing w:val="-16"/>
                              <w:sz w:val="14"/>
                            </w:rPr>
                            <w:t xml:space="preserve"> </w:t>
                          </w:r>
                          <w:r w:rsidRPr="001B0F6F">
                            <w:rPr>
                              <w:sz w:val="14"/>
                            </w:rPr>
                            <w:fldChar w:fldCharType="begin"/>
                          </w:r>
                          <w:r w:rsidRPr="001B0F6F">
                            <w:rPr>
                              <w:sz w:val="14"/>
                            </w:rPr>
                            <w:instrText xml:space="preserve"> PAGE </w:instrText>
                          </w:r>
                          <w:r w:rsidRPr="001B0F6F">
                            <w:rPr>
                              <w:sz w:val="14"/>
                            </w:rPr>
                            <w:fldChar w:fldCharType="separate"/>
                          </w:r>
                          <w:r w:rsidR="00B81157" w:rsidRPr="001B0F6F">
                            <w:rPr>
                              <w:noProof/>
                              <w:sz w:val="14"/>
                            </w:rPr>
                            <w:t>6</w:t>
                          </w:r>
                          <w:r w:rsidRPr="001B0F6F">
                            <w:rPr>
                              <w:sz w:val="14"/>
                            </w:rPr>
                            <w:fldChar w:fldCharType="end"/>
                          </w:r>
                          <w:r w:rsidRPr="001B0F6F">
                            <w:rPr>
                              <w:spacing w:val="-16"/>
                              <w:sz w:val="14"/>
                            </w:rPr>
                            <w:t xml:space="preserve"> </w:t>
                          </w:r>
                          <w:r w:rsidRPr="001B0F6F">
                            <w:rPr>
                              <w:sz w:val="14"/>
                            </w:rPr>
                            <w:t>de</w:t>
                          </w:r>
                          <w:r w:rsidRPr="001B0F6F">
                            <w:rPr>
                              <w:spacing w:val="-14"/>
                              <w:sz w:val="14"/>
                            </w:rPr>
                            <w:t xml:space="preserve"> </w:t>
                          </w:r>
                          <w:r w:rsidRPr="001B0F6F">
                            <w:rPr>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EDF73" id="_x0000_t202" coordsize="21600,21600" o:spt="202" path="m,l,21600r21600,l21600,xe">
              <v:stroke joinstyle="miter"/>
              <v:path gradientshapeok="t" o:connecttype="rect"/>
            </v:shapetype>
            <v:shape id="Text Box 1" o:spid="_x0000_s1027" type="#_x0000_t202" style="position:absolute;margin-left:5pt;margin-top:0;width:473.2pt;height:46.35pt;z-index:-1587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" filled="f" stroked="f">
              <v:textbox inset="0,0,0,0">
                <w:txbxContent>
                  <w:p w:rsidR="00691783" w:rsidRPr="001B0F6F" w:rsidRDefault="00302A62" w:rsidP="00691783">
                    <w:pPr>
                      <w:jc w:val="both"/>
                      <w:rPr>
                        <w:rFonts w:ascii="Century Gothic" w:hAnsi="Century Gothic"/>
                        <w:b/>
                        <w:bCs/>
                        <w:sz w:val="14"/>
                        <w:szCs w:val="16"/>
                        <w:lang w:val="es-DO"/>
                      </w:rPr>
                    </w:pPr>
                    <w:bookmarkStart w:id="2" w:name="_Hlk133998226"/>
                    <w:r w:rsidRPr="001B0F6F">
                      <w:rPr>
                        <w:rFonts w:ascii="Century Gothic" w:hAnsi="Century Gothic"/>
                        <w:b/>
                        <w:bCs/>
                        <w:sz w:val="14"/>
                        <w:szCs w:val="16"/>
                      </w:rPr>
                      <w:t xml:space="preserve">BORRADOR DE RESOLUCIÓN No. </w:t>
                    </w:r>
                    <w:r w:rsidRPr="001B0F6F">
                      <w:rPr>
                        <w:rFonts w:ascii="Century Gothic" w:hAnsi="Century Gothic"/>
                        <w:b/>
                        <w:bCs/>
                        <w:sz w:val="14"/>
                        <w:szCs w:val="16"/>
                        <w:highlight w:val="yellow"/>
                      </w:rPr>
                      <w:t>xx-</w:t>
                    </w:r>
                    <w:r w:rsidRPr="001B0F6F">
                      <w:rPr>
                        <w:rFonts w:ascii="Century Gothic" w:hAnsi="Century Gothic"/>
                        <w:b/>
                        <w:bCs/>
                        <w:sz w:val="14"/>
                        <w:szCs w:val="16"/>
                      </w:rPr>
                      <w:t>2023</w:t>
                    </w:r>
                    <w:r w:rsidRPr="001B0F6F">
                      <w:rPr>
                        <w:rFonts w:ascii="Century Gothic" w:hAnsi="Century Gothic"/>
                        <w:b/>
                        <w:bCs/>
                        <w:sz w:val="14"/>
                        <w:szCs w:val="16"/>
                        <w:lang w:val="es-DO"/>
                      </w:rPr>
                      <w:t>, SOBRE LA APLICACIÓN</w:t>
                    </w:r>
                    <w:r w:rsidR="00691783" w:rsidRPr="001B0F6F">
                      <w:rPr>
                        <w:rFonts w:ascii="Century Gothic" w:hAnsi="Century Gothic"/>
                        <w:b/>
                        <w:bCs/>
                        <w:sz w:val="14"/>
                        <w:szCs w:val="16"/>
                        <w:lang w:val="es-DO"/>
                      </w:rPr>
                      <w:t xml:space="preserve">   DEL   </w:t>
                    </w:r>
                    <w:r w:rsidRPr="001B0F6F">
                      <w:rPr>
                        <w:rFonts w:ascii="Century Gothic" w:hAnsi="Century Gothic"/>
                        <w:b/>
                        <w:bCs/>
                        <w:sz w:val="14"/>
                        <w:szCs w:val="16"/>
                        <w:lang w:val="es-DO"/>
                      </w:rPr>
                      <w:t>PORCENTAJE DE</w:t>
                    </w:r>
                    <w:r w:rsidR="00691783" w:rsidRPr="001B0F6F">
                      <w:rPr>
                        <w:rFonts w:ascii="Century Gothic" w:hAnsi="Century Gothic"/>
                        <w:b/>
                        <w:bCs/>
                        <w:sz w:val="14"/>
                        <w:szCs w:val="16"/>
                        <w:lang w:val="es-DO"/>
                      </w:rPr>
                      <w:t xml:space="preserve">   LAS   RESERVAS   DE   LAS CANDIDATURAS QUE ESTABLECE LA LEY No. 33-18 DE PARTIDOS, AGRUPACIONES </w:t>
                    </w:r>
                    <w:r w:rsidRPr="001B0F6F">
                      <w:rPr>
                        <w:rFonts w:ascii="Century Gothic" w:hAnsi="Century Gothic"/>
                        <w:b/>
                        <w:bCs/>
                        <w:sz w:val="14"/>
                        <w:szCs w:val="16"/>
                        <w:lang w:val="es-DO"/>
                      </w:rPr>
                      <w:t>Y MOVIMIENTOS POLÍTICOS</w:t>
                    </w:r>
                    <w:r w:rsidR="00691783" w:rsidRPr="001B0F6F">
                      <w:rPr>
                        <w:rFonts w:ascii="Century Gothic" w:hAnsi="Century Gothic"/>
                        <w:b/>
                        <w:bCs/>
                        <w:sz w:val="14"/>
                        <w:szCs w:val="16"/>
                        <w:lang w:val="es-DO"/>
                      </w:rPr>
                      <w:t xml:space="preserve"> PARA LAS ELECCIONES GENERALES ORDINARIAS DE 2024.</w:t>
                    </w:r>
                  </w:p>
                  <w:bookmarkEnd w:id="2"/>
                  <w:p w:rsidR="00F0426F" w:rsidRPr="001B0F6F" w:rsidRDefault="00BE582B">
                    <w:pPr>
                      <w:ind w:right="81"/>
                      <w:jc w:val="right"/>
                      <w:rPr>
                        <w:sz w:val="14"/>
                      </w:rPr>
                    </w:pPr>
                    <w:r w:rsidRPr="001B0F6F">
                      <w:rPr>
                        <w:sz w:val="14"/>
                      </w:rPr>
                      <w:t>Página</w:t>
                    </w:r>
                    <w:r w:rsidRPr="001B0F6F">
                      <w:rPr>
                        <w:spacing w:val="-16"/>
                        <w:sz w:val="14"/>
                      </w:rPr>
                      <w:t xml:space="preserve"> </w:t>
                    </w:r>
                    <w:r w:rsidRPr="001B0F6F">
                      <w:rPr>
                        <w:sz w:val="14"/>
                      </w:rPr>
                      <w:fldChar w:fldCharType="begin"/>
                    </w:r>
                    <w:r w:rsidRPr="001B0F6F">
                      <w:rPr>
                        <w:sz w:val="14"/>
                      </w:rPr>
                      <w:instrText xml:space="preserve"> PAGE </w:instrText>
                    </w:r>
                    <w:r w:rsidRPr="001B0F6F">
                      <w:rPr>
                        <w:sz w:val="14"/>
                      </w:rPr>
                      <w:fldChar w:fldCharType="separate"/>
                    </w:r>
                    <w:r w:rsidR="00B81157" w:rsidRPr="001B0F6F">
                      <w:rPr>
                        <w:noProof/>
                        <w:sz w:val="14"/>
                      </w:rPr>
                      <w:t>6</w:t>
                    </w:r>
                    <w:r w:rsidRPr="001B0F6F">
                      <w:rPr>
                        <w:sz w:val="14"/>
                      </w:rPr>
                      <w:fldChar w:fldCharType="end"/>
                    </w:r>
                    <w:r w:rsidRPr="001B0F6F">
                      <w:rPr>
                        <w:spacing w:val="-16"/>
                        <w:sz w:val="14"/>
                      </w:rPr>
                      <w:t xml:space="preserve"> </w:t>
                    </w:r>
                    <w:r w:rsidRPr="001B0F6F">
                      <w:rPr>
                        <w:sz w:val="14"/>
                      </w:rPr>
                      <w:t>de</w:t>
                    </w:r>
                    <w:r w:rsidRPr="001B0F6F">
                      <w:rPr>
                        <w:spacing w:val="-14"/>
                        <w:sz w:val="14"/>
                      </w:rPr>
                      <w:t xml:space="preserve"> </w:t>
                    </w:r>
                    <w:r w:rsidRPr="001B0F6F">
                      <w:rPr>
                        <w:sz w:val="14"/>
                      </w:rPr>
                      <w:t>6</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F658" w14:textId="77777777" w:rsidR="00844E13" w:rsidRDefault="00844E13">
      <w:r>
        <w:separator/>
      </w:r>
    </w:p>
  </w:footnote>
  <w:footnote w:type="continuationSeparator" w:id="0">
    <w:p w14:paraId="514D4B3D" w14:textId="77777777" w:rsidR="00844E13" w:rsidRDefault="0084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A7E0" w14:textId="77777777" w:rsidR="00096E92" w:rsidRDefault="00E048FD">
    <w:pPr>
      <w:pBdr>
        <w:top w:val="nil"/>
        <w:left w:val="nil"/>
        <w:bottom w:val="nil"/>
        <w:right w:val="nil"/>
        <w:between w:val="nil"/>
      </w:pBdr>
      <w:spacing w:line="14" w:lineRule="auto"/>
      <w:rPr>
        <w:color w:val="000000"/>
        <w:sz w:val="20"/>
        <w:szCs w:val="20"/>
      </w:rPr>
    </w:pPr>
    <w:sdt>
      <w:sdtPr>
        <w:rPr>
          <w:color w:val="000000"/>
          <w:sz w:val="20"/>
          <w:szCs w:val="20"/>
        </w:rPr>
        <w:id w:val="-451023586"/>
        <w:docPartObj>
          <w:docPartGallery w:val="Watermarks"/>
          <w:docPartUnique/>
        </w:docPartObj>
      </w:sdtPr>
      <w:sdtEndPr/>
      <w:sdtContent>
        <w:r>
          <w:rPr>
            <w:noProof/>
            <w:color w:val="000000"/>
            <w:sz w:val="20"/>
            <w:szCs w:val="20"/>
          </w:rPr>
        </w:r>
        <w:r w:rsidR="00E048FD">
          <w:rPr>
            <w:noProof/>
            <w:color w:val="000000"/>
            <w:sz w:val="20"/>
            <w:szCs w:val="20"/>
          </w:rPr>
          <w:pict w14:anchorId="5ED7A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BE582B">
      <w:rPr>
        <w:noProof/>
        <w:color w:val="000000"/>
        <w:sz w:val="24"/>
        <w:szCs w:val="24"/>
        <w:lang w:val="es-DO"/>
      </w:rPr>
      <w:drawing>
        <wp:anchor distT="0" distB="0" distL="0" distR="0" simplePos="0" relativeHeight="251656192" behindDoc="1" locked="0" layoutInCell="1" hidden="0" allowOverlap="1" wp14:anchorId="76B9A326" wp14:editId="4AB4F226">
          <wp:simplePos x="0" y="0"/>
          <wp:positionH relativeFrom="page">
            <wp:posOffset>3452650</wp:posOffset>
          </wp:positionH>
          <wp:positionV relativeFrom="page">
            <wp:posOffset>540305</wp:posOffset>
          </wp:positionV>
          <wp:extent cx="680720" cy="68072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0720" cy="680720"/>
                  </a:xfrm>
                  <a:prstGeom prst="rect">
                    <a:avLst/>
                  </a:prstGeom>
                  <a:ln/>
                </pic:spPr>
              </pic:pic>
            </a:graphicData>
          </a:graphic>
        </wp:anchor>
      </w:drawing>
    </w:r>
    <w:r w:rsidR="00120AF4">
      <w:rPr>
        <w:noProof/>
        <w:color w:val="000000"/>
        <w:sz w:val="24"/>
        <w:szCs w:val="24"/>
      </w:rPr>
      <mc:AlternateContent>
        <mc:Choice Requires="wps">
          <w:drawing>
            <wp:anchor distT="0" distB="0" distL="114300" distR="114300" simplePos="0" relativeHeight="251657216" behindDoc="1" locked="0" layoutInCell="1" allowOverlap="1" wp14:anchorId="1ABA8216" wp14:editId="001D3726">
              <wp:simplePos x="0" y="0"/>
              <wp:positionH relativeFrom="page">
                <wp:posOffset>2959735</wp:posOffset>
              </wp:positionH>
              <wp:positionV relativeFrom="page">
                <wp:posOffset>1224280</wp:posOffset>
              </wp:positionV>
              <wp:extent cx="1853565" cy="39433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30B" w14:textId="77777777" w:rsidR="00F0426F" w:rsidRDefault="00BE582B">
                          <w:pPr>
                            <w:spacing w:before="17" w:line="280" w:lineRule="auto"/>
                            <w:ind w:left="20" w:firstLine="103"/>
                            <w:rPr>
                              <w:rFonts w:ascii="Tahoma" w:hAnsi="Tahoma"/>
                              <w:b/>
                            </w:rPr>
                          </w:pPr>
                          <w:r>
                            <w:rPr>
                              <w:rFonts w:ascii="Tahoma" w:hAnsi="Tahoma"/>
                              <w:b/>
                              <w:w w:val="90"/>
                            </w:rPr>
                            <w:t>REPÚBLICA</w:t>
                          </w:r>
                          <w:r>
                            <w:rPr>
                              <w:rFonts w:ascii="Tahoma" w:hAnsi="Tahoma"/>
                              <w:b/>
                              <w:spacing w:val="1"/>
                              <w:w w:val="90"/>
                            </w:rPr>
                            <w:t xml:space="preserve"> </w:t>
                          </w:r>
                          <w:r>
                            <w:rPr>
                              <w:rFonts w:ascii="Tahoma" w:hAnsi="Tahoma"/>
                              <w:b/>
                              <w:w w:val="90"/>
                            </w:rPr>
                            <w:t>DOMINICANA</w:t>
                          </w:r>
                          <w:r>
                            <w:rPr>
                              <w:rFonts w:ascii="Tahoma" w:hAnsi="Tahoma"/>
                              <w:b/>
                              <w:spacing w:val="1"/>
                              <w:w w:val="90"/>
                            </w:rPr>
                            <w:t xml:space="preserve"> </w:t>
                          </w:r>
                          <w:r>
                            <w:rPr>
                              <w:rFonts w:ascii="Tahoma" w:hAnsi="Tahoma"/>
                              <w:b/>
                              <w:w w:val="90"/>
                            </w:rPr>
                            <w:t>JUNTA</w:t>
                          </w:r>
                          <w:r>
                            <w:rPr>
                              <w:rFonts w:ascii="Tahoma" w:hAnsi="Tahoma"/>
                              <w:b/>
                              <w:spacing w:val="4"/>
                              <w:w w:val="90"/>
                            </w:rPr>
                            <w:t xml:space="preserve"> </w:t>
                          </w:r>
                          <w:r>
                            <w:rPr>
                              <w:rFonts w:ascii="Tahoma" w:hAnsi="Tahoma"/>
                              <w:b/>
                              <w:w w:val="90"/>
                            </w:rPr>
                            <w:t>CENTRAL</w:t>
                          </w:r>
                          <w:r>
                            <w:rPr>
                              <w:rFonts w:ascii="Tahoma" w:hAnsi="Tahoma"/>
                              <w:b/>
                              <w:spacing w:val="8"/>
                              <w:w w:val="90"/>
                            </w:rPr>
                            <w:t xml:space="preserve"> </w:t>
                          </w:r>
                          <w:r>
                            <w:rPr>
                              <w:rFonts w:ascii="Tahoma" w:hAnsi="Tahoma"/>
                              <w:b/>
                              <w:w w:val="90"/>
                            </w:rPr>
                            <w:t>ELECTORAL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9ECA2" id="_x0000_t202" coordsize="21600,21600" o:spt="202" path="m,l,21600r21600,l21600,xe">
              <v:stroke joinstyle="miter"/>
              <v:path gradientshapeok="t" o:connecttype="rect"/>
            </v:shapetype>
            <v:shape id="Text Box 2" o:spid="_x0000_s1026" type="#_x0000_t202" style="position:absolute;margin-left:233.05pt;margin-top:96.4pt;width:145.95pt;height:31.0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WrAIAAKkFAAAOAAAAZHJzL2Uyb0RvYy54bWysVO1umzAU/T9p72D5P+UjkAY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" filled="f" stroked="f">
              <v:textbox inset="0,0,0,0">
                <w:txbxContent>
                  <w:p w:rsidR="00F0426F" w:rsidRDefault="00BE582B">
                    <w:pPr>
                      <w:spacing w:before="17" w:line="280" w:lineRule="auto"/>
                      <w:ind w:left="20" w:firstLine="103"/>
                      <w:rPr>
                        <w:rFonts w:ascii="Tahoma" w:hAnsi="Tahoma"/>
                        <w:b/>
                      </w:rPr>
                    </w:pPr>
                    <w:r>
                      <w:rPr>
                        <w:rFonts w:ascii="Tahoma" w:hAnsi="Tahoma"/>
                        <w:b/>
                        <w:w w:val="90"/>
                      </w:rPr>
                      <w:t>REPÚBLICA</w:t>
                    </w:r>
                    <w:r>
                      <w:rPr>
                        <w:rFonts w:ascii="Tahoma" w:hAnsi="Tahoma"/>
                        <w:b/>
                        <w:spacing w:val="1"/>
                        <w:w w:val="90"/>
                      </w:rPr>
                      <w:t xml:space="preserve"> </w:t>
                    </w:r>
                    <w:r>
                      <w:rPr>
                        <w:rFonts w:ascii="Tahoma" w:hAnsi="Tahoma"/>
                        <w:b/>
                        <w:w w:val="90"/>
                      </w:rPr>
                      <w:t>DOMINICANA</w:t>
                    </w:r>
                    <w:r>
                      <w:rPr>
                        <w:rFonts w:ascii="Tahoma" w:hAnsi="Tahoma"/>
                        <w:b/>
                        <w:spacing w:val="1"/>
                        <w:w w:val="90"/>
                      </w:rPr>
                      <w:t xml:space="preserve"> </w:t>
                    </w:r>
                    <w:r>
                      <w:rPr>
                        <w:rFonts w:ascii="Tahoma" w:hAnsi="Tahoma"/>
                        <w:b/>
                        <w:w w:val="90"/>
                      </w:rPr>
                      <w:t>JUNTA</w:t>
                    </w:r>
                    <w:r>
                      <w:rPr>
                        <w:rFonts w:ascii="Tahoma" w:hAnsi="Tahoma"/>
                        <w:b/>
                        <w:spacing w:val="4"/>
                        <w:w w:val="90"/>
                      </w:rPr>
                      <w:t xml:space="preserve"> </w:t>
                    </w:r>
                    <w:r>
                      <w:rPr>
                        <w:rFonts w:ascii="Tahoma" w:hAnsi="Tahoma"/>
                        <w:b/>
                        <w:w w:val="90"/>
                      </w:rPr>
                      <w:t>CENTRAL</w:t>
                    </w:r>
                    <w:r>
                      <w:rPr>
                        <w:rFonts w:ascii="Tahoma" w:hAnsi="Tahoma"/>
                        <w:b/>
                        <w:spacing w:val="8"/>
                        <w:w w:val="90"/>
                      </w:rPr>
                      <w:t xml:space="preserve"> </w:t>
                    </w:r>
                    <w:r>
                      <w:rPr>
                        <w:rFonts w:ascii="Tahoma" w:hAnsi="Tahoma"/>
                        <w:b/>
                        <w:w w:val="90"/>
                      </w:rPr>
                      <w:t>ELECTORAL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92"/>
    <w:rsid w:val="0003045E"/>
    <w:rsid w:val="0009292E"/>
    <w:rsid w:val="00096E92"/>
    <w:rsid w:val="000A0540"/>
    <w:rsid w:val="000A1C15"/>
    <w:rsid w:val="00100D36"/>
    <w:rsid w:val="00120AF4"/>
    <w:rsid w:val="00154BBE"/>
    <w:rsid w:val="0017656C"/>
    <w:rsid w:val="00177839"/>
    <w:rsid w:val="001B0F6F"/>
    <w:rsid w:val="001B782C"/>
    <w:rsid w:val="001C3F9F"/>
    <w:rsid w:val="001F61EB"/>
    <w:rsid w:val="001F6FDB"/>
    <w:rsid w:val="00240FD9"/>
    <w:rsid w:val="002752FD"/>
    <w:rsid w:val="00281A22"/>
    <w:rsid w:val="002F515A"/>
    <w:rsid w:val="00302A62"/>
    <w:rsid w:val="00320F77"/>
    <w:rsid w:val="00337A8E"/>
    <w:rsid w:val="00384EAA"/>
    <w:rsid w:val="003865F1"/>
    <w:rsid w:val="003A247F"/>
    <w:rsid w:val="003E5723"/>
    <w:rsid w:val="003F083D"/>
    <w:rsid w:val="003F209D"/>
    <w:rsid w:val="00401587"/>
    <w:rsid w:val="00416249"/>
    <w:rsid w:val="004631EF"/>
    <w:rsid w:val="004821FE"/>
    <w:rsid w:val="004B1FC0"/>
    <w:rsid w:val="004E3A97"/>
    <w:rsid w:val="00534346"/>
    <w:rsid w:val="00556E03"/>
    <w:rsid w:val="00577D67"/>
    <w:rsid w:val="006414EF"/>
    <w:rsid w:val="00691783"/>
    <w:rsid w:val="006A123F"/>
    <w:rsid w:val="006D0378"/>
    <w:rsid w:val="007A0054"/>
    <w:rsid w:val="007C63E2"/>
    <w:rsid w:val="00802F8C"/>
    <w:rsid w:val="0082411B"/>
    <w:rsid w:val="0084415B"/>
    <w:rsid w:val="00844E13"/>
    <w:rsid w:val="008731FF"/>
    <w:rsid w:val="00892891"/>
    <w:rsid w:val="008B7228"/>
    <w:rsid w:val="00983C45"/>
    <w:rsid w:val="009C401A"/>
    <w:rsid w:val="009D2AEF"/>
    <w:rsid w:val="00A04630"/>
    <w:rsid w:val="00A06647"/>
    <w:rsid w:val="00A35501"/>
    <w:rsid w:val="00A37CF6"/>
    <w:rsid w:val="00AC47CD"/>
    <w:rsid w:val="00B032A8"/>
    <w:rsid w:val="00B43BD6"/>
    <w:rsid w:val="00B81157"/>
    <w:rsid w:val="00BA6114"/>
    <w:rsid w:val="00BB40A9"/>
    <w:rsid w:val="00BD7DB1"/>
    <w:rsid w:val="00BE582B"/>
    <w:rsid w:val="00C97658"/>
    <w:rsid w:val="00CD6059"/>
    <w:rsid w:val="00D426C0"/>
    <w:rsid w:val="00D81904"/>
    <w:rsid w:val="00DC5BAD"/>
    <w:rsid w:val="00DF53D1"/>
    <w:rsid w:val="00E048FD"/>
    <w:rsid w:val="00E47460"/>
    <w:rsid w:val="00E51AA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CE31CA"/>
  <w15:docId w15:val="{CE7C6B54-8D17-4E01-B54C-981D3CD4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D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right="136"/>
      <w:jc w:val="center"/>
      <w:outlineLvl w:val="0"/>
    </w:pPr>
    <w:rPr>
      <w:rFonts w:ascii="Tahoma" w:eastAsia="Tahoma" w:hAnsi="Tahoma" w:cs="Tahoma"/>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extodeglobo">
    <w:name w:val="Balloon Text"/>
    <w:basedOn w:val="Normal"/>
    <w:link w:val="TextodegloboCar"/>
    <w:uiPriority w:val="99"/>
    <w:semiHidden/>
    <w:unhideWhenUsed/>
    <w:rsid w:val="00D42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6C0"/>
    <w:rPr>
      <w:rFonts w:ascii="Tahoma" w:hAnsi="Tahoma" w:cs="Tahoma"/>
      <w:sz w:val="16"/>
      <w:szCs w:val="16"/>
    </w:rPr>
  </w:style>
  <w:style w:type="paragraph" w:styleId="Revisin">
    <w:name w:val="Revision"/>
    <w:hidden/>
    <w:uiPriority w:val="99"/>
    <w:semiHidden/>
    <w:rsid w:val="006414EF"/>
    <w:pPr>
      <w:widowControl/>
    </w:pPr>
  </w:style>
  <w:style w:type="paragraph" w:styleId="Encabezado">
    <w:name w:val="header"/>
    <w:basedOn w:val="Normal"/>
    <w:link w:val="EncabezadoCar"/>
    <w:uiPriority w:val="99"/>
    <w:unhideWhenUsed/>
    <w:rsid w:val="00691783"/>
    <w:pPr>
      <w:tabs>
        <w:tab w:val="center" w:pos="4680"/>
        <w:tab w:val="right" w:pos="9360"/>
      </w:tabs>
    </w:pPr>
  </w:style>
  <w:style w:type="character" w:customStyle="1" w:styleId="EncabezadoCar">
    <w:name w:val="Encabezado Car"/>
    <w:basedOn w:val="Fuentedeprrafopredeter"/>
    <w:link w:val="Encabezado"/>
    <w:uiPriority w:val="99"/>
    <w:rsid w:val="00691783"/>
  </w:style>
  <w:style w:type="paragraph" w:styleId="Piedepgina">
    <w:name w:val="footer"/>
    <w:basedOn w:val="Normal"/>
    <w:link w:val="PiedepginaCar"/>
    <w:uiPriority w:val="99"/>
    <w:unhideWhenUsed/>
    <w:rsid w:val="00691783"/>
    <w:pPr>
      <w:tabs>
        <w:tab w:val="center" w:pos="4680"/>
        <w:tab w:val="right" w:pos="9360"/>
      </w:tabs>
    </w:pPr>
  </w:style>
  <w:style w:type="character" w:customStyle="1" w:styleId="PiedepginaCar">
    <w:name w:val="Pie de página Car"/>
    <w:basedOn w:val="Fuentedeprrafopredeter"/>
    <w:link w:val="Piedepgina"/>
    <w:uiPriority w:val="99"/>
    <w:rsid w:val="0069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32C2A-1A57-4404-A24A-DAEC9506C0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2226</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Emmanuel Diaz Mordan</dc:creator>
  <cp:lastModifiedBy>Sonne Beltre Ramirez</cp:lastModifiedBy>
  <cp:revision>2</cp:revision>
  <dcterms:created xsi:type="dcterms:W3CDTF">2023-05-03T22:50:00Z</dcterms:created>
  <dcterms:modified xsi:type="dcterms:W3CDTF">2023-05-03T22:50:00Z</dcterms:modified>
</cp:coreProperties>
</file>